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2018年个人大额存单第7</w:t>
      </w:r>
      <w:r>
        <w:rPr>
          <w:rFonts w:hint="eastAsia" w:ascii="黑体" w:eastAsia="黑体"/>
          <w:sz w:val="32"/>
          <w:szCs w:val="21"/>
          <w:lang w:val="en-US" w:eastAsia="zh-CN"/>
        </w:rPr>
        <w:t>6</w:t>
      </w:r>
      <w:r>
        <w:rPr>
          <w:rFonts w:hint="eastAsia" w:ascii="黑体" w:eastAsia="黑体"/>
          <w:sz w:val="32"/>
          <w:szCs w:val="21"/>
        </w:rPr>
        <w:t>期3年产品说明书</w:t>
      </w:r>
    </w:p>
    <w:p>
      <w:pPr>
        <w:spacing w:line="360" w:lineRule="auto"/>
        <w:rPr>
          <w:rFonts w:ascii="黑体" w:eastAsia="黑体"/>
          <w:sz w:val="24"/>
          <w:szCs w:val="24"/>
        </w:rPr>
      </w:pPr>
      <w:bookmarkStart w:id="0" w:name="_GoBack"/>
      <w:bookmarkEnd w:id="0"/>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2018年个人大额存单第7</w:t>
            </w:r>
            <w:r>
              <w:rPr>
                <w:rFonts w:hint="eastAsia" w:ascii="仿宋_GB2312" w:hAnsi="宋体" w:eastAsia="仿宋_GB2312" w:cs="宋体"/>
                <w:color w:val="000000"/>
                <w:kern w:val="0"/>
                <w:sz w:val="21"/>
                <w:szCs w:val="21"/>
                <w:lang w:val="en-US" w:eastAsia="zh-CN"/>
              </w:rPr>
              <w:t>6</w:t>
            </w:r>
            <w:r>
              <w:rPr>
                <w:rFonts w:hint="eastAsia" w:ascii="仿宋_GB2312" w:hAnsi="宋体" w:eastAsia="仿宋_GB2312" w:cs="宋体"/>
                <w:color w:val="000000"/>
                <w:kern w:val="0"/>
                <w:sz w:val="21"/>
                <w:szCs w:val="21"/>
              </w:rPr>
              <w:t>期3年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CRCB2018100103100000272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2018年</w:t>
            </w:r>
            <w:r>
              <w:rPr>
                <w:rFonts w:hint="eastAsia" w:ascii="仿宋_GB2312" w:eastAsia="仿宋_GB2312"/>
                <w:szCs w:val="21"/>
                <w:lang w:val="en-US" w:eastAsia="zh-CN"/>
              </w:rPr>
              <w:t>10</w:t>
            </w:r>
            <w:r>
              <w:rPr>
                <w:rFonts w:hint="eastAsia" w:ascii="仿宋_GB2312" w:eastAsia="仿宋_GB2312"/>
                <w:szCs w:val="21"/>
              </w:rPr>
              <w:t>月1日—2018年</w:t>
            </w:r>
            <w:r>
              <w:rPr>
                <w:rFonts w:hint="eastAsia" w:ascii="仿宋_GB2312" w:eastAsia="仿宋_GB2312"/>
                <w:szCs w:val="21"/>
                <w:lang w:val="en-US" w:eastAsia="zh-CN"/>
              </w:rPr>
              <w:t>12</w:t>
            </w:r>
            <w:r>
              <w:rPr>
                <w:rFonts w:hint="eastAsia" w:ascii="仿宋_GB2312" w:eastAsia="仿宋_GB2312"/>
                <w:szCs w:val="21"/>
              </w:rPr>
              <w:t>月3</w:t>
            </w:r>
            <w:r>
              <w:rPr>
                <w:rFonts w:hint="eastAsia" w:ascii="仿宋_GB2312" w:eastAsia="仿宋_GB2312"/>
                <w:szCs w:val="21"/>
                <w:lang w:val="en-US" w:eastAsia="zh-CN"/>
              </w:rPr>
              <w:t>1</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rPr>
              <w:t>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rPr>
              <w:t>10亿元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网点柜面、手机银行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ascii="仿宋_GB2312" w:eastAsia="仿宋_GB2312"/>
                <w:szCs w:val="21"/>
              </w:rPr>
            </w:pPr>
            <w:r>
              <w:rPr>
                <w:rFonts w:hint="eastAsia" w:ascii="仿宋_GB2312" w:eastAsia="仿宋_GB2312"/>
                <w:szCs w:val="21"/>
              </w:rPr>
              <w:t>3.9875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起息日起满3年，对年对月对日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微软雅黑">
    <w:panose1 w:val="020B0503020204020204"/>
    <w:charset w:val="86"/>
    <w:family w:val="modern"/>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76507"/>
    <w:rsid w:val="004D21A7"/>
    <w:rsid w:val="004E722D"/>
    <w:rsid w:val="005A59C7"/>
    <w:rsid w:val="005E53CC"/>
    <w:rsid w:val="00754C0D"/>
    <w:rsid w:val="00764981"/>
    <w:rsid w:val="00810737"/>
    <w:rsid w:val="008B3008"/>
    <w:rsid w:val="00A55D96"/>
    <w:rsid w:val="00B90A07"/>
    <w:rsid w:val="00B95FDB"/>
    <w:rsid w:val="00BC5106"/>
    <w:rsid w:val="00BC5D1C"/>
    <w:rsid w:val="00BF7B0C"/>
    <w:rsid w:val="00D029DC"/>
    <w:rsid w:val="00D56BE8"/>
    <w:rsid w:val="00D8029C"/>
    <w:rsid w:val="00D95E2B"/>
    <w:rsid w:val="00DB723C"/>
    <w:rsid w:val="00DD7745"/>
    <w:rsid w:val="00DF1305"/>
    <w:rsid w:val="00E72AF1"/>
    <w:rsid w:val="00E86AB4"/>
    <w:rsid w:val="00F344B5"/>
    <w:rsid w:val="00FB143D"/>
    <w:rsid w:val="00FF6D13"/>
    <w:rsid w:val="02954871"/>
    <w:rsid w:val="03D9531D"/>
    <w:rsid w:val="264C4F95"/>
    <w:rsid w:val="3CC30655"/>
    <w:rsid w:val="4A5D47B4"/>
    <w:rsid w:val="50897DDA"/>
    <w:rsid w:val="5BB11026"/>
    <w:rsid w:val="5DC069FB"/>
    <w:rsid w:val="62A5137C"/>
    <w:rsid w:val="6E9E5366"/>
    <w:rsid w:val="6FB91786"/>
    <w:rsid w:val="7E48355C"/>
    <w:rsid w:val="7E8E3AC7"/>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167</Words>
  <Characters>956</Characters>
  <Lines>7</Lines>
  <Paragraphs>2</Paragraphs>
  <ScaleCrop>false</ScaleCrop>
  <LinksUpToDate>false</LinksUpToDate>
  <CharactersWithSpaces>1121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len</cp:lastModifiedBy>
  <cp:lastPrinted>2016-12-31T02:55:00Z</cp:lastPrinted>
  <dcterms:modified xsi:type="dcterms:W3CDTF">2018-09-29T00:05:16Z</dcterms:modified>
  <dc:title>常熟农商银行**年第*期个人大额存单说明书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