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widowControl w:val="0"/>
        <w:suppressLineNumbers w:val="0"/>
        <w:snapToGrid w:val="0"/>
        <w:spacing w:before="0" w:beforeAutospacing="0" w:after="0" w:afterAutospacing="0"/>
        <w:ind w:left="0" w:right="0"/>
        <w:jc w:val="center"/>
        <w:rPr>
          <w:rFonts w:hint="eastAsia" w:ascii="黑体" w:hAnsi="Calibri" w:eastAsia="黑体" w:cs="黑体"/>
          <w:kern w:val="2"/>
          <w:sz w:val="32"/>
          <w:szCs w:val="32"/>
        </w:rPr>
      </w:pPr>
      <w:r>
        <w:rPr>
          <w:rFonts w:hint="eastAsia" w:ascii="黑体" w:hAnsi="Calibri" w:eastAsia="黑体" w:cs="黑体"/>
          <w:kern w:val="2"/>
          <w:sz w:val="32"/>
          <w:szCs w:val="32"/>
          <w:lang w:val="en-US" w:eastAsia="zh-CN" w:bidi="ar"/>
        </w:rPr>
        <w:t>江苏常熟农村商业银行股份有限公司</w:t>
      </w:r>
    </w:p>
    <w:p>
      <w:pPr>
        <w:keepNext w:val="0"/>
        <w:keepLines w:val="0"/>
        <w:widowControl w:val="0"/>
        <w:suppressLineNumbers w:val="0"/>
        <w:snapToGrid w:val="0"/>
        <w:spacing w:before="0" w:beforeAutospacing="0" w:after="0" w:afterAutospacing="0"/>
        <w:ind w:left="0" w:right="0"/>
        <w:jc w:val="center"/>
        <w:rPr>
          <w:rFonts w:hint="eastAsia" w:ascii="黑体" w:hAnsi="Calibri" w:eastAsia="黑体" w:cs="黑体"/>
          <w:kern w:val="2"/>
          <w:sz w:val="32"/>
          <w:szCs w:val="32"/>
        </w:rPr>
      </w:pPr>
      <w:r>
        <w:rPr>
          <w:rFonts w:hint="eastAsia" w:ascii="黑体" w:hAnsi="Calibri" w:eastAsia="黑体" w:cs="黑体"/>
          <w:kern w:val="2"/>
          <w:sz w:val="32"/>
          <w:szCs w:val="32"/>
          <w:lang w:val="en-US" w:eastAsia="zh-CN" w:bidi="ar"/>
        </w:rPr>
        <w:t>2018年个人大额存单2.0第3期3年产品说明书</w:t>
      </w:r>
    </w:p>
    <w:p>
      <w:pPr>
        <w:keepNext w:val="0"/>
        <w:keepLines w:val="0"/>
        <w:widowControl w:val="0"/>
        <w:suppressLineNumbers w:val="0"/>
        <w:snapToGrid w:val="0"/>
        <w:spacing w:before="0" w:beforeAutospacing="0" w:after="0" w:afterAutospacing="0" w:line="360" w:lineRule="auto"/>
        <w:ind w:left="0" w:right="0"/>
        <w:jc w:val="both"/>
        <w:rPr>
          <w:rFonts w:hint="eastAsia" w:ascii="黑体" w:hAnsi="Calibri" w:eastAsia="黑体" w:cs="黑体"/>
          <w:kern w:val="2"/>
          <w:sz w:val="24"/>
          <w:szCs w:val="24"/>
        </w:rPr>
      </w:pPr>
      <w:r>
        <w:rPr>
          <w:rFonts w:hint="eastAsia" w:ascii="黑体" w:hAnsi="Calibri" w:eastAsia="黑体" w:cs="黑体"/>
          <w:kern w:val="2"/>
          <w:sz w:val="24"/>
          <w:szCs w:val="24"/>
          <w:lang w:val="en-US" w:eastAsia="zh-CN" w:bidi="ar"/>
        </w:rPr>
        <w:t xml:space="preserve"> </w:t>
      </w:r>
    </w:p>
    <w:p>
      <w:pPr>
        <w:keepNext w:val="0"/>
        <w:keepLines w:val="0"/>
        <w:widowControl w:val="0"/>
        <w:suppressLineNumbers w:val="0"/>
        <w:snapToGrid w:val="0"/>
        <w:spacing w:before="0" w:beforeAutospacing="0" w:after="0" w:afterAutospacing="0" w:line="360" w:lineRule="exact"/>
        <w:ind w:left="0" w:right="0" w:firstLine="413" w:firstLineChars="196"/>
        <w:jc w:val="both"/>
        <w:rPr>
          <w:rFonts w:hint="default" w:ascii="仿宋_GB2312" w:hAnsi="Calibri" w:eastAsia="仿宋_GB2312" w:cs="黑体"/>
          <w:b/>
          <w:kern w:val="2"/>
          <w:sz w:val="21"/>
          <w:szCs w:val="21"/>
        </w:rPr>
      </w:pPr>
      <w:r>
        <w:rPr>
          <w:rFonts w:hint="default" w:ascii="仿宋_GB2312" w:hAnsi="Calibri" w:eastAsia="仿宋_GB2312" w:cs="黑体"/>
          <w:b/>
          <w:kern w:val="2"/>
          <w:sz w:val="21"/>
          <w:szCs w:val="21"/>
          <w:lang w:val="en-US" w:eastAsia="zh-CN" w:bidi="ar"/>
        </w:rPr>
        <w:t>一、产品要素</w:t>
      </w:r>
    </w:p>
    <w:tbl>
      <w:tblPr>
        <w:tblStyle w:val="3"/>
        <w:tblW w:w="84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30"/>
        <w:gridCol w:w="65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产品名称</w:t>
            </w:r>
          </w:p>
        </w:tc>
        <w:tc>
          <w:tcPr>
            <w:tcW w:w="65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宋体" w:eastAsia="仿宋_GB2312" w:cs="宋体"/>
                <w:color w:val="000000"/>
                <w:kern w:val="0"/>
                <w:sz w:val="21"/>
                <w:szCs w:val="21"/>
                <w:lang w:val="en-US" w:eastAsia="zh-CN" w:bidi="ar"/>
              </w:rPr>
              <w:t>2018年个人大额存单</w:t>
            </w:r>
            <w:r>
              <w:rPr>
                <w:rFonts w:hint="eastAsia" w:ascii="仿宋_GB2312" w:hAnsi="宋体" w:eastAsia="仿宋_GB2312" w:cs="宋体"/>
                <w:color w:val="000000"/>
                <w:kern w:val="0"/>
                <w:sz w:val="21"/>
                <w:szCs w:val="21"/>
                <w:lang w:val="en-US" w:eastAsia="zh-CN" w:bidi="ar"/>
              </w:rPr>
              <w:t>2.0</w:t>
            </w:r>
            <w:r>
              <w:rPr>
                <w:rFonts w:hint="default" w:ascii="仿宋_GB2312" w:hAnsi="宋体" w:eastAsia="仿宋_GB2312" w:cs="宋体"/>
                <w:color w:val="000000"/>
                <w:kern w:val="0"/>
                <w:sz w:val="21"/>
                <w:szCs w:val="21"/>
                <w:lang w:val="en-US" w:eastAsia="zh-CN" w:bidi="ar"/>
              </w:rPr>
              <w:t>第</w:t>
            </w:r>
            <w:r>
              <w:rPr>
                <w:rFonts w:hint="eastAsia" w:ascii="仿宋_GB2312" w:hAnsi="宋体" w:eastAsia="仿宋_GB2312" w:cs="宋体"/>
                <w:color w:val="000000"/>
                <w:kern w:val="0"/>
                <w:sz w:val="21"/>
                <w:szCs w:val="21"/>
                <w:lang w:val="en-US" w:eastAsia="zh-CN" w:bidi="ar"/>
              </w:rPr>
              <w:t>3</w:t>
            </w:r>
            <w:r>
              <w:rPr>
                <w:rFonts w:hint="default" w:ascii="仿宋_GB2312" w:hAnsi="宋体" w:eastAsia="仿宋_GB2312" w:cs="宋体"/>
                <w:color w:val="000000"/>
                <w:kern w:val="0"/>
                <w:sz w:val="21"/>
                <w:szCs w:val="21"/>
                <w:lang w:val="en-US" w:eastAsia="zh-CN" w:bidi="ar"/>
              </w:rPr>
              <w:t>期</w:t>
            </w:r>
            <w:r>
              <w:rPr>
                <w:rFonts w:hint="eastAsia" w:ascii="仿宋_GB2312" w:hAnsi="宋体" w:eastAsia="仿宋_GB2312" w:cs="宋体"/>
                <w:color w:val="000000"/>
                <w:kern w:val="0"/>
                <w:sz w:val="21"/>
                <w:szCs w:val="21"/>
                <w:lang w:val="en-US" w:eastAsia="zh-CN" w:bidi="ar"/>
              </w:rPr>
              <w:t>3</w:t>
            </w:r>
            <w:r>
              <w:rPr>
                <w:rFonts w:hint="default" w:ascii="仿宋_GB2312" w:hAnsi="宋体" w:eastAsia="仿宋_GB2312" w:cs="宋体"/>
                <w:color w:val="000000"/>
                <w:kern w:val="0"/>
                <w:sz w:val="21"/>
                <w:szCs w:val="21"/>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产品编号</w:t>
            </w:r>
          </w:p>
        </w:tc>
        <w:tc>
          <w:tcPr>
            <w:tcW w:w="65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rPr>
              <w:t>CRCB2018100103100000268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发行起止日</w:t>
            </w:r>
          </w:p>
        </w:tc>
        <w:tc>
          <w:tcPr>
            <w:tcW w:w="65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2018年</w:t>
            </w:r>
            <w:r>
              <w:rPr>
                <w:rFonts w:hint="eastAsia" w:ascii="仿宋_GB2312" w:hAnsi="Calibri" w:eastAsia="仿宋_GB2312" w:cs="黑体"/>
                <w:kern w:val="2"/>
                <w:sz w:val="21"/>
                <w:szCs w:val="21"/>
                <w:lang w:val="en-US" w:eastAsia="zh-CN" w:bidi="ar"/>
              </w:rPr>
              <w:t>10</w:t>
            </w:r>
            <w:r>
              <w:rPr>
                <w:rFonts w:hint="default" w:ascii="仿宋_GB2312" w:hAnsi="Calibri" w:eastAsia="仿宋_GB2312" w:cs="黑体"/>
                <w:kern w:val="2"/>
                <w:sz w:val="21"/>
                <w:szCs w:val="21"/>
                <w:lang w:val="en-US" w:eastAsia="zh-CN" w:bidi="ar"/>
              </w:rPr>
              <w:t>月1日—2018年</w:t>
            </w:r>
            <w:r>
              <w:rPr>
                <w:rFonts w:hint="eastAsia" w:ascii="仿宋_GB2312" w:hAnsi="Calibri" w:eastAsia="仿宋_GB2312" w:cs="黑体"/>
                <w:kern w:val="2"/>
                <w:sz w:val="21"/>
                <w:szCs w:val="21"/>
                <w:lang w:val="en-US" w:eastAsia="zh-CN" w:bidi="ar"/>
              </w:rPr>
              <w:t>12</w:t>
            </w:r>
            <w:r>
              <w:rPr>
                <w:rFonts w:hint="default" w:ascii="仿宋_GB2312" w:hAnsi="Calibri" w:eastAsia="仿宋_GB2312" w:cs="黑体"/>
                <w:kern w:val="2"/>
                <w:sz w:val="21"/>
                <w:szCs w:val="21"/>
                <w:lang w:val="en-US" w:eastAsia="zh-CN" w:bidi="ar"/>
              </w:rPr>
              <w:t>月3</w:t>
            </w:r>
            <w:r>
              <w:rPr>
                <w:rFonts w:hint="eastAsia" w:ascii="仿宋_GB2312" w:hAnsi="Calibri" w:eastAsia="仿宋_GB2312" w:cs="黑体"/>
                <w:kern w:val="2"/>
                <w:sz w:val="21"/>
                <w:szCs w:val="21"/>
                <w:lang w:val="en-US" w:eastAsia="zh-CN" w:bidi="ar"/>
              </w:rPr>
              <w:t>1</w:t>
            </w:r>
            <w:r>
              <w:rPr>
                <w:rFonts w:hint="default" w:ascii="仿宋_GB2312" w:hAnsi="Calibri" w:eastAsia="仿宋_GB2312" w:cs="黑体"/>
                <w:kern w:val="2"/>
                <w:sz w:val="21"/>
                <w:szCs w:val="21"/>
                <w:lang w:val="en-US" w:eastAsia="zh-CN" w:bidi="ar"/>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7" w:hRule="atLeast"/>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产品期限</w:t>
            </w:r>
          </w:p>
        </w:tc>
        <w:tc>
          <w:tcPr>
            <w:tcW w:w="65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发售对象</w:t>
            </w:r>
          </w:p>
        </w:tc>
        <w:tc>
          <w:tcPr>
            <w:tcW w:w="65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个人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发售规模</w:t>
            </w:r>
          </w:p>
        </w:tc>
        <w:tc>
          <w:tcPr>
            <w:tcW w:w="65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10亿元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币种</w:t>
            </w:r>
          </w:p>
        </w:tc>
        <w:tc>
          <w:tcPr>
            <w:tcW w:w="65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人民币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发行渠道</w:t>
            </w:r>
          </w:p>
        </w:tc>
        <w:tc>
          <w:tcPr>
            <w:tcW w:w="65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网点柜面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认购起点金额</w:t>
            </w:r>
          </w:p>
        </w:tc>
        <w:tc>
          <w:tcPr>
            <w:tcW w:w="65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20万元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递增金额</w:t>
            </w:r>
          </w:p>
        </w:tc>
        <w:tc>
          <w:tcPr>
            <w:tcW w:w="65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1万元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计息类型</w:t>
            </w:r>
          </w:p>
        </w:tc>
        <w:tc>
          <w:tcPr>
            <w:tcW w:w="65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固定利率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年利率（%）</w:t>
            </w:r>
          </w:p>
        </w:tc>
        <w:tc>
          <w:tcPr>
            <w:tcW w:w="65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3.9875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付息方式</w:t>
            </w:r>
          </w:p>
        </w:tc>
        <w:tc>
          <w:tcPr>
            <w:tcW w:w="65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eastAsia" w:ascii="仿宋_GB2312" w:hAnsi="Calibri" w:eastAsia="仿宋_GB2312" w:cs="黑体"/>
                <w:kern w:val="2"/>
                <w:sz w:val="21"/>
                <w:szCs w:val="21"/>
                <w:lang w:val="en-US" w:eastAsia="zh-CN" w:bidi="ar"/>
              </w:rPr>
              <w:t>按月付息、到期还本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起息日</w:t>
            </w:r>
          </w:p>
        </w:tc>
        <w:tc>
          <w:tcPr>
            <w:tcW w:w="65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购买成功当日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到期日</w:t>
            </w:r>
          </w:p>
        </w:tc>
        <w:tc>
          <w:tcPr>
            <w:tcW w:w="65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起息日起满3年，对年对月对日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7" w:hRule="atLeast"/>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兑付日</w:t>
            </w:r>
          </w:p>
        </w:tc>
        <w:tc>
          <w:tcPr>
            <w:tcW w:w="65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到期当日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lang w:val="en-US" w:eastAsia="zh-CN" w:bidi="ar"/>
              </w:rPr>
            </w:pPr>
            <w:r>
              <w:rPr>
                <w:rFonts w:hint="eastAsia" w:ascii="仿宋_GB2312" w:hAnsi="Calibri" w:eastAsia="仿宋_GB2312" w:cs="黑体"/>
                <w:kern w:val="2"/>
                <w:sz w:val="21"/>
                <w:szCs w:val="21"/>
                <w:lang w:val="en-US" w:eastAsia="zh-CN" w:bidi="ar"/>
              </w:rPr>
              <w:t>付息日</w:t>
            </w:r>
          </w:p>
        </w:tc>
        <w:tc>
          <w:tcPr>
            <w:tcW w:w="65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lang w:val="en-US" w:eastAsia="zh-CN" w:bidi="ar"/>
              </w:rPr>
            </w:pPr>
            <w:r>
              <w:rPr>
                <w:rFonts w:hint="default" w:ascii="仿宋_GB2312" w:hAnsi="Calibri" w:eastAsia="仿宋_GB2312" w:cs="黑体"/>
                <w:kern w:val="2"/>
                <w:sz w:val="21"/>
                <w:szCs w:val="21"/>
                <w:lang w:val="en-US" w:eastAsia="zh-CN" w:bidi="ar"/>
              </w:rPr>
              <w:t>每月10日，存单到期日</w:t>
            </w:r>
            <w:r>
              <w:rPr>
                <w:rFonts w:hint="default" w:ascii="仿宋_GB2312" w:hAnsi="Calibri" w:eastAsia="仿宋_GB2312" w:cs="黑体"/>
                <w:b/>
                <w:bCs/>
                <w:kern w:val="2"/>
                <w:sz w:val="21"/>
                <w:szCs w:val="21"/>
                <w:lang w:val="en-US" w:eastAsia="zh-CN" w:bidi="ar"/>
              </w:rPr>
              <w:t>（每月10日支付起息日或上一付息日至本次付息日之间的利息，存单到期日支付剩余利息，当月购买产品当月不付息，下月付息日付息</w:t>
            </w:r>
            <w:r>
              <w:rPr>
                <w:rFonts w:hint="eastAsia" w:ascii="仿宋_GB2312" w:hAnsi="Calibri" w:eastAsia="仿宋_GB2312" w:cs="黑体"/>
                <w:b/>
                <w:bCs/>
                <w:kern w:val="2"/>
                <w:sz w:val="21"/>
                <w:szCs w:val="21"/>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提前支取</w:t>
            </w:r>
          </w:p>
        </w:tc>
        <w:tc>
          <w:tcPr>
            <w:tcW w:w="65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1、提前支取部分按支取日常熟农商银行活期存款挂牌利率计息；剩余部分仍遵从原存单计息规则。</w:t>
            </w:r>
            <w:r>
              <w:rPr>
                <w:rFonts w:hint="eastAsia" w:ascii="仿宋_GB2312" w:hAnsi="Calibri" w:eastAsia="仿宋_GB2312" w:cs="黑体"/>
                <w:kern w:val="2"/>
                <w:sz w:val="21"/>
                <w:szCs w:val="21"/>
                <w:lang w:val="en-US" w:eastAsia="zh-CN" w:bidi="ar"/>
              </w:rPr>
              <w:t>（</w:t>
            </w:r>
            <w:r>
              <w:rPr>
                <w:rFonts w:hint="default" w:ascii="仿宋_GB2312" w:hAnsi="Calibri" w:eastAsia="仿宋_GB2312" w:cs="黑体"/>
                <w:b/>
                <w:bCs/>
                <w:kern w:val="2"/>
                <w:sz w:val="21"/>
                <w:szCs w:val="21"/>
                <w:lang w:val="en-US" w:eastAsia="zh-CN" w:bidi="ar"/>
              </w:rPr>
              <w:t>若发生提前支取，支取本金对应的已付定期利息将优先从支取本金对应的提前支取利息中扣除，若不足抵扣，将从支取本金中扣除。实际支付金额=支取本金+支取本金提前支取对应</w:t>
            </w:r>
            <w:r>
              <w:rPr>
                <w:rFonts w:hint="eastAsia" w:ascii="仿宋_GB2312" w:hAnsi="Calibri" w:eastAsia="仿宋_GB2312" w:cs="黑体"/>
                <w:b/>
                <w:bCs/>
                <w:kern w:val="2"/>
                <w:sz w:val="21"/>
                <w:szCs w:val="21"/>
                <w:lang w:val="en-US" w:eastAsia="zh-CN" w:bidi="ar"/>
              </w:rPr>
              <w:t>应</w:t>
            </w:r>
            <w:r>
              <w:rPr>
                <w:rFonts w:hint="default" w:ascii="仿宋_GB2312" w:hAnsi="Calibri" w:eastAsia="仿宋_GB2312" w:cs="黑体"/>
                <w:b/>
                <w:bCs/>
                <w:kern w:val="2"/>
                <w:sz w:val="21"/>
                <w:szCs w:val="21"/>
                <w:lang w:val="en-US" w:eastAsia="zh-CN" w:bidi="ar"/>
              </w:rPr>
              <w:t>支付利息-支取本金对应已定期支付利息</w:t>
            </w:r>
            <w:r>
              <w:rPr>
                <w:rFonts w:hint="eastAsia" w:ascii="仿宋_GB2312" w:hAnsi="Calibri" w:eastAsia="仿宋_GB2312" w:cs="黑体"/>
                <w:b/>
                <w:bCs/>
                <w:kern w:val="2"/>
                <w:sz w:val="21"/>
                <w:szCs w:val="21"/>
                <w:lang w:val="en-US" w:eastAsia="zh-CN" w:bidi="ar"/>
              </w:rPr>
              <w:t>）</w:t>
            </w:r>
          </w:p>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2、期限内允许全部或部分提前支取1次。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3" w:hRule="atLeast"/>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lang w:val="en-US" w:eastAsia="zh-CN" w:bidi="ar"/>
              </w:rPr>
            </w:pPr>
            <w:r>
              <w:rPr>
                <w:rFonts w:hint="eastAsia" w:ascii="仿宋_GB2312" w:hAnsi="Calibri" w:eastAsia="仿宋_GB2312" w:cs="黑体"/>
                <w:kern w:val="2"/>
                <w:sz w:val="21"/>
                <w:szCs w:val="21"/>
                <w:lang w:val="en-US" w:eastAsia="zh-CN" w:bidi="ar"/>
              </w:rPr>
              <w:t>计息规则</w:t>
            </w:r>
          </w:p>
        </w:tc>
        <w:tc>
          <w:tcPr>
            <w:tcW w:w="65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default" w:ascii="仿宋_GB2312" w:hAnsi="宋体" w:eastAsia="仿宋_GB2312" w:cs="宋体"/>
                <w:color w:val="000000"/>
                <w:kern w:val="0"/>
                <w:sz w:val="21"/>
                <w:szCs w:val="21"/>
                <w:lang w:val="en-US" w:eastAsia="zh-CN" w:bidi="ar"/>
              </w:rPr>
            </w:pPr>
            <w:r>
              <w:rPr>
                <w:rFonts w:hint="default" w:ascii="仿宋_GB2312" w:hAnsi="宋体" w:eastAsia="仿宋_GB2312" w:cs="宋体"/>
                <w:color w:val="000000"/>
                <w:kern w:val="0"/>
                <w:sz w:val="21"/>
                <w:szCs w:val="21"/>
                <w:lang w:val="en-US" w:eastAsia="zh-CN" w:bidi="ar"/>
              </w:rPr>
              <w:t>每月定期应付利息=持有存单本金金额*起息日或上一付息日（含）至付息日（不含）实际天数*执行利率/360（因允许提前支取，付息日支付的利息可能存在多付的情形），到期日：剩余应付利息=持有存单本金金额*起息日或上一付息日（含）至存单到期日（不含）实际天数*执行利率/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3" w:hRule="atLeast"/>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人工兑付</w:t>
            </w:r>
          </w:p>
        </w:tc>
        <w:tc>
          <w:tcPr>
            <w:tcW w:w="65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1、到期未能自动兑付的大额存单，</w:t>
            </w:r>
            <w:r>
              <w:rPr>
                <w:rFonts w:hint="default" w:ascii="仿宋_GB2312" w:hAnsi="宋体" w:eastAsia="仿宋_GB2312" w:cs="宋体"/>
                <w:color w:val="000000"/>
                <w:kern w:val="0"/>
                <w:sz w:val="21"/>
                <w:szCs w:val="21"/>
                <w:lang w:val="en-US" w:eastAsia="zh-CN" w:bidi="ar"/>
              </w:rPr>
              <w:t>待存单状态正常后，投资人可本人或委托他人至我行网点柜面办理人工兑付，相关手续同认购部分。</w:t>
            </w:r>
          </w:p>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宋体" w:eastAsia="仿宋_GB2312" w:cs="宋体"/>
                <w:color w:val="000000"/>
                <w:kern w:val="0"/>
                <w:sz w:val="21"/>
                <w:szCs w:val="21"/>
                <w:lang w:val="en-US" w:eastAsia="zh-CN" w:bidi="ar"/>
              </w:rPr>
              <w:t>2、大额存单到期日至实际兑付日的利息按照实际兑付日我行挂牌活期存款利率计算。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3" w:hRule="atLeast"/>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赎回</w:t>
            </w:r>
          </w:p>
        </w:tc>
        <w:tc>
          <w:tcPr>
            <w:tcW w:w="65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转让</w:t>
            </w:r>
          </w:p>
        </w:tc>
        <w:tc>
          <w:tcPr>
            <w:tcW w:w="65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附属条款</w:t>
            </w:r>
          </w:p>
        </w:tc>
        <w:tc>
          <w:tcPr>
            <w:tcW w:w="65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可办理质押、开立大额存单持有证明、开立资信证明。</w:t>
            </w:r>
          </w:p>
        </w:tc>
      </w:tr>
    </w:tbl>
    <w:p>
      <w:pPr>
        <w:keepNext w:val="0"/>
        <w:keepLines w:val="0"/>
        <w:widowControl w:val="0"/>
        <w:suppressLineNumbers w:val="0"/>
        <w:snapToGrid w:val="0"/>
        <w:spacing w:before="0" w:beforeAutospacing="0" w:after="0" w:afterAutospacing="0" w:line="360" w:lineRule="exact"/>
        <w:ind w:left="0" w:right="0" w:firstLine="422" w:firstLineChars="200"/>
        <w:jc w:val="both"/>
        <w:rPr>
          <w:rFonts w:hint="default" w:ascii="仿宋_GB2312" w:hAnsi="宋体" w:eastAsia="仿宋_GB2312" w:cs="宋体"/>
          <w:b/>
          <w:color w:val="000000"/>
          <w:kern w:val="0"/>
          <w:sz w:val="21"/>
          <w:szCs w:val="21"/>
        </w:rPr>
      </w:pPr>
      <w:r>
        <w:rPr>
          <w:rFonts w:hint="default" w:ascii="仿宋_GB2312" w:hAnsi="宋体" w:eastAsia="仿宋_GB2312" w:cs="宋体"/>
          <w:b/>
          <w:color w:val="000000"/>
          <w:kern w:val="0"/>
          <w:sz w:val="21"/>
          <w:szCs w:val="21"/>
          <w:lang w:val="en-US" w:eastAsia="zh-CN" w:bidi="ar"/>
        </w:rPr>
        <w:t>二、认购</w:t>
      </w:r>
    </w:p>
    <w:p>
      <w:pPr>
        <w:keepNext w:val="0"/>
        <w:keepLines w:val="0"/>
        <w:widowControl/>
        <w:suppressLineNumbers w:val="0"/>
        <w:adjustRightInd w:val="0"/>
        <w:snapToGrid w:val="0"/>
        <w:spacing w:before="0" w:beforeAutospacing="0" w:after="0" w:afterAutospacing="0" w:line="360" w:lineRule="exact"/>
        <w:ind w:left="0" w:right="0" w:firstLine="420" w:firstLineChars="200"/>
        <w:jc w:val="left"/>
        <w:rPr>
          <w:rFonts w:hint="default" w:ascii="仿宋_GB2312" w:hAnsi="宋体" w:eastAsia="仿宋_GB2312" w:cs="宋体"/>
          <w:color w:val="000000"/>
          <w:kern w:val="0"/>
          <w:sz w:val="21"/>
          <w:szCs w:val="21"/>
        </w:rPr>
      </w:pPr>
      <w:r>
        <w:rPr>
          <w:rFonts w:hint="default" w:ascii="仿宋_GB2312" w:hAnsi="宋体" w:eastAsia="仿宋_GB2312" w:cs="宋体"/>
          <w:color w:val="000000"/>
          <w:kern w:val="0"/>
          <w:sz w:val="21"/>
          <w:szCs w:val="21"/>
          <w:lang w:val="en-US" w:eastAsia="zh-CN" w:bidi="ar"/>
        </w:rPr>
        <w:t>本期产品采用电子化存单，投资人须在我行开立个人结算账户，在我行网点持本人有效身份证件并填写《大额存单</w:t>
      </w:r>
      <w:r>
        <w:rPr>
          <w:rFonts w:hint="eastAsia" w:ascii="仿宋_GB2312" w:hAnsi="宋体" w:eastAsia="仿宋_GB2312" w:cs="宋体"/>
          <w:color w:val="000000"/>
          <w:kern w:val="0"/>
          <w:sz w:val="21"/>
          <w:szCs w:val="21"/>
          <w:lang w:val="en-US" w:eastAsia="zh-CN" w:bidi="ar"/>
        </w:rPr>
        <w:t>2.0</w:t>
      </w:r>
      <w:r>
        <w:rPr>
          <w:rFonts w:hint="default" w:ascii="仿宋_GB2312" w:hAnsi="宋体" w:eastAsia="仿宋_GB2312" w:cs="宋体"/>
          <w:color w:val="000000"/>
          <w:kern w:val="0"/>
          <w:sz w:val="21"/>
          <w:szCs w:val="21"/>
          <w:lang w:val="en-US" w:eastAsia="zh-CN" w:bidi="ar"/>
        </w:rPr>
        <w:t>交易信息表》办理认购。</w:t>
      </w:r>
      <w:r>
        <w:rPr>
          <w:rFonts w:hint="default" w:ascii="仿宋_GB2312" w:hAnsi="宋体" w:eastAsia="仿宋_GB2312" w:cs="宋体"/>
          <w:b/>
          <w:color w:val="000000"/>
          <w:kern w:val="0"/>
          <w:sz w:val="21"/>
          <w:szCs w:val="21"/>
          <w:lang w:val="en-US" w:eastAsia="zh-CN" w:bidi="ar"/>
        </w:rPr>
        <w:t>投资人经网点在申请书上签字确认，即表示其已全部知晓并充分理解、同意本产品说明书全部条款。</w:t>
      </w:r>
    </w:p>
    <w:p>
      <w:pPr>
        <w:keepNext w:val="0"/>
        <w:keepLines w:val="0"/>
        <w:widowControl/>
        <w:suppressLineNumbers w:val="0"/>
        <w:adjustRightInd w:val="0"/>
        <w:snapToGrid w:val="0"/>
        <w:spacing w:before="0" w:beforeAutospacing="0" w:after="0" w:afterAutospacing="0" w:line="360" w:lineRule="exact"/>
        <w:ind w:left="0" w:right="0" w:firstLine="420" w:firstLineChars="200"/>
        <w:jc w:val="left"/>
        <w:rPr>
          <w:rFonts w:hint="default" w:ascii="仿宋_GB2312" w:hAnsi="宋体" w:eastAsia="仿宋_GB2312" w:cs="宋体"/>
          <w:b/>
          <w:color w:val="000000"/>
          <w:kern w:val="0"/>
          <w:sz w:val="21"/>
          <w:szCs w:val="21"/>
        </w:rPr>
      </w:pPr>
      <w:r>
        <w:rPr>
          <w:rFonts w:hint="default" w:ascii="仿宋_GB2312" w:hAnsi="宋体" w:eastAsia="仿宋_GB2312" w:cs="宋体"/>
          <w:color w:val="000000"/>
          <w:kern w:val="0"/>
          <w:sz w:val="21"/>
          <w:szCs w:val="21"/>
          <w:lang w:val="en-US" w:eastAsia="zh-CN" w:bidi="ar"/>
        </w:rPr>
        <w:t>投资人委托他人代理认购的，代理人须持其本人有效身份证件及投资人借记卡或存折、投资人有效身份证件，在我行网点代理投资人办理认购手续。</w:t>
      </w:r>
      <w:r>
        <w:rPr>
          <w:rFonts w:hint="default" w:ascii="仿宋_GB2312" w:hAnsi="宋体" w:eastAsia="仿宋_GB2312" w:cs="宋体"/>
          <w:b/>
          <w:color w:val="000000"/>
          <w:kern w:val="0"/>
          <w:sz w:val="21"/>
          <w:szCs w:val="21"/>
          <w:lang w:val="en-US" w:eastAsia="zh-CN" w:bidi="ar"/>
        </w:rPr>
        <w:t>代理人在《大额存单</w:t>
      </w:r>
      <w:r>
        <w:rPr>
          <w:rFonts w:hint="eastAsia" w:ascii="仿宋_GB2312" w:hAnsi="宋体" w:eastAsia="仿宋_GB2312" w:cs="宋体"/>
          <w:b/>
          <w:color w:val="000000"/>
          <w:kern w:val="0"/>
          <w:sz w:val="21"/>
          <w:szCs w:val="21"/>
          <w:lang w:val="en-US" w:eastAsia="zh-CN" w:bidi="ar"/>
        </w:rPr>
        <w:t>2.0</w:t>
      </w:r>
      <w:r>
        <w:rPr>
          <w:rFonts w:hint="default" w:ascii="仿宋_GB2312" w:hAnsi="宋体" w:eastAsia="仿宋_GB2312" w:cs="宋体"/>
          <w:b/>
          <w:color w:val="000000"/>
          <w:kern w:val="0"/>
          <w:sz w:val="21"/>
          <w:szCs w:val="21"/>
          <w:lang w:val="en-US" w:eastAsia="zh-CN" w:bidi="ar"/>
        </w:rPr>
        <w:t>交易信息表》上签字确认，视同投资人已全部知晓并充分理解、同意本产品说明书全部条款。</w:t>
      </w:r>
    </w:p>
    <w:p>
      <w:pPr>
        <w:keepNext w:val="0"/>
        <w:keepLines w:val="0"/>
        <w:widowControl/>
        <w:suppressLineNumbers w:val="0"/>
        <w:adjustRightInd w:val="0"/>
        <w:snapToGrid w:val="0"/>
        <w:spacing w:before="0" w:beforeAutospacing="0" w:after="0" w:afterAutospacing="0" w:line="360" w:lineRule="exact"/>
        <w:ind w:left="0" w:right="0" w:firstLine="420" w:firstLineChars="200"/>
        <w:jc w:val="left"/>
        <w:rPr>
          <w:rFonts w:hint="default" w:ascii="仿宋_GB2312" w:hAnsi="宋体" w:eastAsia="仿宋_GB2312" w:cs="宋体"/>
          <w:color w:val="000000"/>
          <w:kern w:val="0"/>
          <w:sz w:val="21"/>
          <w:szCs w:val="21"/>
        </w:rPr>
      </w:pPr>
      <w:r>
        <w:rPr>
          <w:rFonts w:hint="default" w:ascii="仿宋_GB2312" w:hAnsi="宋体" w:eastAsia="仿宋_GB2312" w:cs="宋体"/>
          <w:color w:val="000000"/>
          <w:kern w:val="0"/>
          <w:sz w:val="21"/>
          <w:szCs w:val="21"/>
          <w:lang w:val="en-US" w:eastAsia="zh-CN" w:bidi="ar"/>
        </w:rPr>
        <w:t>我行根据经营策略制定每期大额存单计划发行规模，客户认购成功额度即冲减计划发行规模，售完即止。</w:t>
      </w:r>
    </w:p>
    <w:p>
      <w:pPr>
        <w:keepNext w:val="0"/>
        <w:keepLines w:val="0"/>
        <w:widowControl/>
        <w:suppressLineNumbers w:val="0"/>
        <w:snapToGrid w:val="0"/>
        <w:spacing w:before="0" w:beforeAutospacing="0" w:after="0" w:afterAutospacing="0" w:line="360" w:lineRule="exact"/>
        <w:ind w:left="0" w:right="0" w:firstLine="413" w:firstLineChars="196"/>
        <w:jc w:val="left"/>
        <w:rPr>
          <w:rFonts w:hint="default" w:ascii="仿宋_GB2312" w:hAnsi="宋体" w:eastAsia="仿宋_GB2312" w:cs="宋体"/>
          <w:b/>
          <w:color w:val="000000"/>
          <w:kern w:val="0"/>
          <w:sz w:val="21"/>
          <w:szCs w:val="21"/>
        </w:rPr>
      </w:pPr>
      <w:r>
        <w:rPr>
          <w:rFonts w:hint="default" w:ascii="仿宋_GB2312" w:hAnsi="宋体" w:eastAsia="仿宋_GB2312" w:cs="宋体"/>
          <w:b/>
          <w:color w:val="000000"/>
          <w:kern w:val="0"/>
          <w:sz w:val="21"/>
          <w:szCs w:val="21"/>
          <w:lang w:val="en-US" w:eastAsia="zh-CN" w:bidi="ar"/>
        </w:rPr>
        <w:t>认购期内如遇人行存款利率调整则提前终止发行。</w:t>
      </w:r>
    </w:p>
    <w:p>
      <w:pPr>
        <w:keepNext w:val="0"/>
        <w:keepLines w:val="0"/>
        <w:widowControl/>
        <w:suppressLineNumbers w:val="0"/>
        <w:snapToGrid w:val="0"/>
        <w:spacing w:before="0" w:beforeAutospacing="0" w:after="0" w:afterAutospacing="0" w:line="360" w:lineRule="exact"/>
        <w:ind w:left="0" w:right="0" w:firstLine="413" w:firstLineChars="196"/>
        <w:jc w:val="left"/>
        <w:rPr>
          <w:rFonts w:hint="default" w:ascii="仿宋_GB2312" w:hAnsi="宋体" w:eastAsia="仿宋_GB2312" w:cs="宋体"/>
          <w:b/>
          <w:color w:val="000000"/>
          <w:kern w:val="0"/>
          <w:sz w:val="21"/>
          <w:szCs w:val="21"/>
        </w:rPr>
      </w:pPr>
      <w:r>
        <w:rPr>
          <w:rFonts w:hint="default" w:ascii="仿宋_GB2312" w:hAnsi="宋体" w:eastAsia="仿宋_GB2312" w:cs="宋体"/>
          <w:b/>
          <w:color w:val="000000"/>
          <w:kern w:val="0"/>
          <w:sz w:val="21"/>
          <w:szCs w:val="21"/>
          <w:lang w:val="en-US" w:eastAsia="zh-CN" w:bidi="ar"/>
        </w:rPr>
        <w:t>三、提前支取</w:t>
      </w:r>
    </w:p>
    <w:p>
      <w:pPr>
        <w:keepNext w:val="0"/>
        <w:keepLines w:val="0"/>
        <w:widowControl/>
        <w:suppressLineNumbers w:val="0"/>
        <w:adjustRightInd w:val="0"/>
        <w:snapToGrid w:val="0"/>
        <w:spacing w:before="0" w:beforeAutospacing="0" w:after="0" w:afterAutospacing="0" w:line="360" w:lineRule="exact"/>
        <w:ind w:left="0" w:right="0" w:firstLine="420" w:firstLineChars="200"/>
        <w:jc w:val="left"/>
        <w:rPr>
          <w:rFonts w:hint="default" w:ascii="仿宋_GB2312" w:hAnsi="宋体" w:eastAsia="仿宋_GB2312" w:cs="宋体"/>
          <w:color w:val="000000"/>
          <w:kern w:val="0"/>
          <w:sz w:val="21"/>
          <w:szCs w:val="21"/>
        </w:rPr>
      </w:pPr>
      <w:r>
        <w:rPr>
          <w:rFonts w:hint="default" w:ascii="仿宋_GB2312" w:hAnsi="宋体" w:eastAsia="仿宋_GB2312" w:cs="宋体"/>
          <w:color w:val="000000"/>
          <w:kern w:val="0"/>
          <w:sz w:val="21"/>
          <w:szCs w:val="21"/>
          <w:lang w:val="en-US" w:eastAsia="zh-CN" w:bidi="ar"/>
        </w:rPr>
        <w:t>投资人可在存单未到期前，申请办理全部或部分提前支取1次。部分提前支取后，存单余额应不低于本期产品的认购起点金额（如低于本期产品的认购起点金额，应办理全额提前支取）。因办理时段存款证明、质押、冻结等业务导致状态异常的大额存单不可提前支取。</w:t>
      </w:r>
    </w:p>
    <w:p>
      <w:pPr>
        <w:keepNext w:val="0"/>
        <w:keepLines w:val="0"/>
        <w:widowControl/>
        <w:suppressLineNumbers w:val="0"/>
        <w:adjustRightInd w:val="0"/>
        <w:snapToGrid w:val="0"/>
        <w:spacing w:before="0" w:beforeAutospacing="0" w:after="0" w:afterAutospacing="0" w:line="360" w:lineRule="exact"/>
        <w:ind w:left="0" w:right="0" w:firstLine="420" w:firstLineChars="200"/>
        <w:jc w:val="left"/>
        <w:rPr>
          <w:rFonts w:hint="default" w:ascii="仿宋_GB2312" w:hAnsi="宋体" w:eastAsia="仿宋_GB2312" w:cs="宋体"/>
          <w:color w:val="000000"/>
          <w:kern w:val="0"/>
          <w:sz w:val="21"/>
          <w:szCs w:val="21"/>
        </w:rPr>
      </w:pPr>
      <w:r>
        <w:rPr>
          <w:rFonts w:hint="default" w:ascii="仿宋_GB2312" w:hAnsi="宋体" w:eastAsia="仿宋_GB2312" w:cs="宋体"/>
          <w:color w:val="000000"/>
          <w:kern w:val="0"/>
          <w:sz w:val="21"/>
          <w:szCs w:val="21"/>
          <w:lang w:val="en-US" w:eastAsia="zh-CN" w:bidi="ar"/>
        </w:rPr>
        <w:t>投资人可本人或委托他人在我行网点柜面办理提前支取，相关手续同认购部分。</w:t>
      </w:r>
    </w:p>
    <w:p>
      <w:pPr>
        <w:keepNext w:val="0"/>
        <w:keepLines w:val="0"/>
        <w:widowControl/>
        <w:suppressLineNumbers w:val="0"/>
        <w:snapToGrid w:val="0"/>
        <w:spacing w:before="0" w:beforeAutospacing="0" w:after="0" w:afterAutospacing="0" w:line="360" w:lineRule="exact"/>
        <w:ind w:left="0" w:right="0" w:firstLine="422" w:firstLineChars="200"/>
        <w:jc w:val="left"/>
        <w:rPr>
          <w:rFonts w:hint="default" w:ascii="仿宋_GB2312" w:hAnsi="宋体" w:eastAsia="仿宋_GB2312" w:cs="宋体"/>
          <w:b/>
          <w:color w:val="000000"/>
          <w:kern w:val="0"/>
          <w:sz w:val="21"/>
          <w:szCs w:val="21"/>
        </w:rPr>
      </w:pPr>
      <w:r>
        <w:rPr>
          <w:rFonts w:hint="default" w:ascii="仿宋_GB2312" w:hAnsi="宋体" w:eastAsia="仿宋_GB2312" w:cs="宋体"/>
          <w:b/>
          <w:color w:val="000000"/>
          <w:kern w:val="0"/>
          <w:sz w:val="21"/>
          <w:szCs w:val="21"/>
          <w:lang w:val="en-US" w:eastAsia="zh-CN" w:bidi="ar"/>
        </w:rPr>
        <w:t>四、到期本息兑付</w:t>
      </w:r>
    </w:p>
    <w:p>
      <w:pPr>
        <w:keepNext w:val="0"/>
        <w:keepLines w:val="0"/>
        <w:widowControl/>
        <w:suppressLineNumbers w:val="0"/>
        <w:adjustRightInd w:val="0"/>
        <w:snapToGrid w:val="0"/>
        <w:spacing w:before="0" w:beforeAutospacing="0" w:after="0" w:afterAutospacing="0" w:line="360" w:lineRule="exact"/>
        <w:ind w:left="0" w:right="0" w:firstLine="420" w:firstLineChars="200"/>
        <w:jc w:val="left"/>
        <w:rPr>
          <w:rFonts w:hint="default" w:ascii="仿宋_GB2312" w:hAnsi="宋体" w:eastAsia="仿宋_GB2312" w:cs="宋体"/>
          <w:color w:val="000000"/>
          <w:kern w:val="0"/>
          <w:sz w:val="21"/>
          <w:szCs w:val="21"/>
        </w:rPr>
      </w:pPr>
      <w:r>
        <w:rPr>
          <w:rFonts w:hint="default" w:ascii="仿宋_GB2312" w:hAnsi="宋体" w:eastAsia="仿宋_GB2312" w:cs="宋体"/>
          <w:color w:val="000000"/>
          <w:kern w:val="0"/>
          <w:sz w:val="21"/>
          <w:szCs w:val="21"/>
          <w:lang w:val="en-US" w:eastAsia="zh-CN" w:bidi="ar"/>
        </w:rPr>
        <w:t>大额存单到期后我行自动将本</w:t>
      </w:r>
      <w:bookmarkStart w:id="0" w:name="_GoBack"/>
      <w:bookmarkEnd w:id="0"/>
      <w:r>
        <w:rPr>
          <w:rFonts w:hint="default" w:ascii="仿宋_GB2312" w:hAnsi="宋体" w:eastAsia="仿宋_GB2312" w:cs="宋体"/>
          <w:color w:val="000000"/>
          <w:kern w:val="0"/>
          <w:sz w:val="21"/>
          <w:szCs w:val="21"/>
          <w:lang w:val="en-US" w:eastAsia="zh-CN" w:bidi="ar"/>
        </w:rPr>
        <w:t>息资金划转到投资人到期兑付账户内，但因办理时段存款证明、质押、冻结等业务导致存单状态异常及到期兑付账户状态异常的大额存单不可自动兑付。</w:t>
      </w:r>
    </w:p>
    <w:p>
      <w:pPr>
        <w:keepNext w:val="0"/>
        <w:keepLines w:val="0"/>
        <w:widowControl/>
        <w:suppressLineNumbers w:val="0"/>
        <w:snapToGrid w:val="0"/>
        <w:spacing w:before="0" w:beforeAutospacing="0" w:after="0" w:afterAutospacing="0" w:line="360" w:lineRule="exact"/>
        <w:ind w:left="0" w:right="0" w:firstLine="422" w:firstLineChars="200"/>
        <w:jc w:val="left"/>
        <w:rPr>
          <w:rFonts w:hint="default" w:ascii="仿宋_GB2312" w:hAnsi="宋体" w:eastAsia="仿宋_GB2312" w:cs="宋体"/>
          <w:b/>
          <w:color w:val="000000"/>
          <w:kern w:val="0"/>
          <w:sz w:val="21"/>
          <w:szCs w:val="21"/>
        </w:rPr>
      </w:pPr>
      <w:r>
        <w:rPr>
          <w:rFonts w:hint="default" w:ascii="仿宋_GB2312" w:hAnsi="宋体" w:eastAsia="仿宋_GB2312" w:cs="宋体"/>
          <w:b/>
          <w:color w:val="000000"/>
          <w:kern w:val="0"/>
          <w:sz w:val="21"/>
          <w:szCs w:val="21"/>
          <w:lang w:val="en-US" w:eastAsia="zh-CN" w:bidi="ar"/>
        </w:rPr>
        <w:t>五、特殊业务办理</w:t>
      </w:r>
    </w:p>
    <w:p>
      <w:pPr>
        <w:keepNext w:val="0"/>
        <w:keepLines w:val="0"/>
        <w:widowControl/>
        <w:suppressLineNumbers w:val="0"/>
        <w:adjustRightInd w:val="0"/>
        <w:snapToGrid w:val="0"/>
        <w:spacing w:before="0" w:beforeAutospacing="0" w:after="0" w:afterAutospacing="0" w:line="360" w:lineRule="exact"/>
        <w:ind w:left="0" w:right="0" w:firstLine="420" w:firstLineChars="200"/>
        <w:jc w:val="left"/>
        <w:rPr>
          <w:rFonts w:hint="default" w:ascii="仿宋_GB2312" w:hAnsi="宋体" w:eastAsia="仿宋_GB2312" w:cs="宋体"/>
          <w:color w:val="000000"/>
          <w:kern w:val="0"/>
          <w:sz w:val="21"/>
          <w:szCs w:val="21"/>
        </w:rPr>
      </w:pPr>
      <w:r>
        <w:rPr>
          <w:rFonts w:hint="default" w:ascii="仿宋_GB2312" w:hAnsi="宋体" w:eastAsia="仿宋_GB2312" w:cs="宋体"/>
          <w:color w:val="000000"/>
          <w:kern w:val="0"/>
          <w:sz w:val="21"/>
          <w:szCs w:val="21"/>
          <w:lang w:val="en-US" w:eastAsia="zh-CN" w:bidi="ar"/>
        </w:rPr>
        <w:t>投资人可根据需要办理大额存单质押、</w:t>
      </w:r>
      <w:r>
        <w:rPr>
          <w:rFonts w:hint="default" w:ascii="仿宋_GB2312" w:hAnsi="Calibri" w:eastAsia="仿宋_GB2312" w:cs="黑体"/>
          <w:kern w:val="2"/>
          <w:sz w:val="21"/>
          <w:szCs w:val="21"/>
          <w:lang w:val="en-US" w:eastAsia="zh-CN" w:bidi="ar"/>
        </w:rPr>
        <w:t>开立大额存单持有证明、</w:t>
      </w:r>
      <w:r>
        <w:rPr>
          <w:rFonts w:hint="default" w:ascii="仿宋_GB2312" w:hAnsi="宋体" w:eastAsia="仿宋_GB2312" w:cs="宋体"/>
          <w:color w:val="000000"/>
          <w:kern w:val="0"/>
          <w:sz w:val="21"/>
          <w:szCs w:val="21"/>
          <w:lang w:val="en-US" w:eastAsia="zh-CN" w:bidi="ar"/>
        </w:rPr>
        <w:t>开立资信证明等业务。</w:t>
      </w:r>
    </w:p>
    <w:p>
      <w:pPr>
        <w:keepNext w:val="0"/>
        <w:keepLines w:val="0"/>
        <w:widowControl/>
        <w:suppressLineNumbers w:val="0"/>
        <w:snapToGrid w:val="0"/>
        <w:spacing w:before="0" w:beforeAutospacing="0" w:after="0" w:afterAutospacing="0" w:line="360" w:lineRule="exact"/>
        <w:ind w:left="0" w:right="0" w:firstLine="422" w:firstLineChars="200"/>
        <w:jc w:val="left"/>
        <w:rPr>
          <w:rFonts w:hint="default" w:ascii="仿宋_GB2312" w:hAnsi="宋体" w:eastAsia="仿宋_GB2312" w:cs="宋体"/>
          <w:b/>
          <w:color w:val="000000"/>
          <w:kern w:val="0"/>
          <w:sz w:val="21"/>
          <w:szCs w:val="21"/>
        </w:rPr>
      </w:pPr>
      <w:r>
        <w:rPr>
          <w:rFonts w:hint="default" w:ascii="仿宋_GB2312" w:hAnsi="宋体" w:eastAsia="仿宋_GB2312" w:cs="宋体"/>
          <w:b/>
          <w:color w:val="000000"/>
          <w:kern w:val="0"/>
          <w:sz w:val="21"/>
          <w:szCs w:val="21"/>
          <w:lang w:val="en-US" w:eastAsia="zh-CN" w:bidi="ar"/>
        </w:rPr>
        <w:t>六、查询</w:t>
      </w:r>
    </w:p>
    <w:p>
      <w:pPr>
        <w:keepNext w:val="0"/>
        <w:keepLines w:val="0"/>
        <w:widowControl/>
        <w:suppressLineNumbers w:val="0"/>
        <w:adjustRightInd w:val="0"/>
        <w:snapToGrid w:val="0"/>
        <w:spacing w:before="0" w:beforeAutospacing="0" w:after="0" w:afterAutospacing="0" w:line="360" w:lineRule="exact"/>
        <w:ind w:left="0" w:right="0" w:firstLine="420" w:firstLineChars="200"/>
        <w:jc w:val="left"/>
        <w:rPr>
          <w:rFonts w:hint="default" w:ascii="仿宋_GB2312" w:hAnsi="Calibri" w:eastAsia="仿宋_GB2312" w:cs="黑体"/>
          <w:kern w:val="2"/>
          <w:sz w:val="21"/>
          <w:szCs w:val="21"/>
        </w:rPr>
      </w:pPr>
      <w:r>
        <w:rPr>
          <w:rFonts w:hint="default" w:ascii="仿宋_GB2312" w:hAnsi="宋体" w:eastAsia="仿宋_GB2312" w:cs="宋体"/>
          <w:color w:val="000000"/>
          <w:kern w:val="0"/>
          <w:sz w:val="21"/>
          <w:szCs w:val="21"/>
          <w:lang w:val="en-US" w:eastAsia="zh-CN" w:bidi="ar"/>
        </w:rPr>
        <w:t>投资人可在我行网点、手机银行对本人名下的大额存单余额及明细进行查询。</w:t>
      </w:r>
    </w:p>
    <w:p>
      <w:pPr>
        <w:keepNext w:val="0"/>
        <w:keepLines w:val="0"/>
        <w:widowControl/>
        <w:suppressLineNumbers w:val="0"/>
        <w:adjustRightInd w:val="0"/>
        <w:snapToGrid w:val="0"/>
        <w:spacing w:before="0" w:beforeAutospacing="0" w:after="0" w:afterAutospacing="0" w:line="360" w:lineRule="exact"/>
        <w:ind w:left="0" w:right="0" w:firstLine="420" w:firstLineChars="200"/>
        <w:jc w:val="left"/>
        <w:rPr>
          <w:rFonts w:hint="default" w:ascii="仿宋_GB2312" w:hAnsi="Calibri" w:eastAsia="仿宋_GB2312" w:cs="黑体"/>
          <w:kern w:val="2"/>
          <w:sz w:val="21"/>
          <w:szCs w:val="21"/>
        </w:rPr>
      </w:pP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10002FF" w:usb1="4000ACFF" w:usb2="00000009"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auto"/>
    <w:pitch w:val="default"/>
    <w:sig w:usb0="E0002AFF" w:usb1="C0007843" w:usb2="00000009" w:usb3="00000000" w:csb0="400001FF" w:csb1="FFFF0000"/>
  </w:font>
  <w:font w:name="Arial">
    <w:panose1 w:val="020B0604020202020204"/>
    <w:charset w:val="00"/>
    <w:family w:val="roman"/>
    <w:pitch w:val="default"/>
    <w:sig w:usb0="E0002AFF" w:usb1="C0007843" w:usb2="00000009" w:usb3="00000000" w:csb0="400001FF" w:csb1="FFFF0000"/>
  </w:font>
  <w:font w:name="仿宋_GB2312">
    <w:altName w:val="仿宋"/>
    <w:panose1 w:val="02010609030101010101"/>
    <w:charset w:val="86"/>
    <w:family w:val="decorative"/>
    <w:pitch w:val="default"/>
    <w:sig w:usb0="00000000" w:usb1="00000000" w:usb2="00000010" w:usb3="00000000" w:csb0="00040000" w:csb1="00000000"/>
  </w:font>
  <w:font w:name="微软雅黑">
    <w:panose1 w:val="020B0503020204020204"/>
    <w:charset w:val="86"/>
    <w:family w:val="roman"/>
    <w:pitch w:val="default"/>
    <w:sig w:usb0="80000287" w:usb1="280F3C52" w:usb2="00000016" w:usb3="00000000" w:csb0="0004001F" w:csb1="00000000"/>
  </w:font>
  <w:font w:name="仿宋">
    <w:panose1 w:val="02010609060101010101"/>
    <w:charset w:val="86"/>
    <w:family w:val="decorative"/>
    <w:pitch w:val="default"/>
    <w:sig w:usb0="800002BF" w:usb1="38CF7CFA" w:usb2="00000016" w:usb3="00000000" w:csb0="00040001" w:csb1="00000000"/>
  </w:font>
  <w:font w:name="Arial">
    <w:panose1 w:val="020B0604020202020204"/>
    <w:charset w:val="00"/>
    <w:family w:val="modern"/>
    <w:pitch w:val="default"/>
    <w:sig w:usb0="E0002AFF" w:usb1="C0007843" w:usb2="00000009" w:usb3="00000000" w:csb0="400001FF" w:csb1="FFFF0000"/>
  </w:font>
  <w:font w:name="仿宋_GB2312">
    <w:altName w:val="仿宋"/>
    <w:panose1 w:val="02010609030101010101"/>
    <w:charset w:val="86"/>
    <w:family w:val="roman"/>
    <w:pitch w:val="default"/>
    <w:sig w:usb0="00000000" w:usb1="00000000" w:usb2="00000010" w:usb3="00000000" w:csb0="00040000" w:csb1="00000000"/>
  </w:font>
  <w:font w:name="微软雅黑">
    <w:panose1 w:val="020B0503020204020204"/>
    <w:charset w:val="86"/>
    <w:family w:val="modern"/>
    <w:pitch w:val="default"/>
    <w:sig w:usb0="80000287" w:usb1="280F3C52" w:usb2="00000016" w:usb3="00000000" w:csb0="0004001F" w:csb1="00000000"/>
  </w:font>
  <w:font w:name="仿宋">
    <w:panose1 w:val="02010609060101010101"/>
    <w:charset w:val="86"/>
    <w:family w:val="roma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decorative"/>
    <w:pitch w:val="default"/>
    <w:sig w:usb0="E0002AFF" w:usb1="C0007843" w:usb2="00000009" w:usb3="00000000" w:csb0="400001FF" w:csb1="FFFF0000"/>
  </w:font>
  <w:font w:name="仿宋_GB2312">
    <w:altName w:val="仿宋"/>
    <w:panose1 w:val="02010609030101010101"/>
    <w:charset w:val="86"/>
    <w:family w:val="swiss"/>
    <w:pitch w:val="default"/>
    <w:sig w:usb0="00000000" w:usb1="00000000" w:usb2="00000010" w:usb3="00000000" w:csb0="00040000" w:csb1="00000000"/>
  </w:font>
  <w:font w:name="微软雅黑">
    <w:panose1 w:val="020B0503020204020204"/>
    <w:charset w:val="86"/>
    <w:family w:val="decorative"/>
    <w:pitch w:val="default"/>
    <w:sig w:usb0="80000287" w:usb1="280F3C52" w:usb2="00000016" w:usb3="00000000" w:csb0="0004001F" w:csb1="00000000"/>
  </w:font>
  <w:font w:name="仿宋">
    <w:panose1 w:val="02010609060101010101"/>
    <w:charset w:val="86"/>
    <w:family w:val="swiss"/>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04048"/>
    <w:rsid w:val="0AE169FF"/>
    <w:rsid w:val="33AE013E"/>
    <w:rsid w:val="361519CD"/>
    <w:rsid w:val="42564735"/>
    <w:rsid w:val="56C05B7E"/>
    <w:rsid w:val="632B7260"/>
    <w:rsid w:val="6A7406D4"/>
    <w:rsid w:val="71BE3408"/>
    <w:rsid w:val="73E24792"/>
    <w:rsid w:val="755C1FA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character" w:customStyle="1" w:styleId="4">
    <w:name w:val="10"/>
    <w:basedOn w:val="2"/>
    <w:qFormat/>
    <w:uiPriority w:val="0"/>
    <w:rPr>
      <w:rFonts w:hint="default" w:ascii="Times New Roman" w:hAnsi="Times New Roman" w:cs="Times New Roman"/>
    </w:rPr>
  </w:style>
  <w:style w:type="character" w:customStyle="1" w:styleId="5">
    <w:name w:val="16"/>
    <w:basedOn w:val="2"/>
    <w:qFormat/>
    <w:uiPriority w:val="0"/>
    <w:rPr>
      <w:rFonts w:hint="default" w:ascii="Times New Roman" w:hAnsi="Times New Roman" w:cs="Times New Roman"/>
      <w:sz w:val="18"/>
      <w:szCs w:val="18"/>
    </w:rPr>
  </w:style>
  <w:style w:type="character" w:customStyle="1" w:styleId="6">
    <w:name w:val="17"/>
    <w:basedOn w:val="2"/>
    <w:qFormat/>
    <w:uiPriority w:val="0"/>
    <w:rPr>
      <w:rFonts w:hint="default" w:ascii="Times New Roman" w:hAnsi="Times New Roman" w:cs="Times New Roman"/>
      <w:sz w:val="18"/>
      <w:szCs w:val="18"/>
    </w:rPr>
  </w:style>
  <w:style w:type="character" w:customStyle="1" w:styleId="7">
    <w:name w:val="15"/>
    <w:basedOn w:val="2"/>
    <w:qFormat/>
    <w:uiPriority w:val="0"/>
    <w:rPr>
      <w:rFonts w:hint="default" w:ascii="Calibri" w:hAnsi="Calibri" w:cs="黑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dc:creator>
  <cp:lastModifiedBy>len</cp:lastModifiedBy>
  <cp:lastPrinted>2018-06-28T08:44:00Z</cp:lastPrinted>
  <dcterms:modified xsi:type="dcterms:W3CDTF">2018-09-29T00:02:35Z</dcterms:modified>
  <dc:title>江苏常熟农村商业银行股份有限公司</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