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江苏常熟农村商业银行股份有限公司</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color w:val="000000"/>
          <w:sz w:val="28"/>
          <w:szCs w:val="28"/>
          <w:highlight w:val="none"/>
        </w:rPr>
        <w:t>招标编号：</w:t>
      </w:r>
      <w:r>
        <w:rPr>
          <w:rFonts w:hint="eastAsia" w:ascii="仿宋_GB2312" w:hAnsi="仿宋_GB2312" w:eastAsia="仿宋_GB2312" w:cs="仿宋_GB2312"/>
          <w:b/>
          <w:bCs/>
          <w:snapToGrid w:val="0"/>
          <w:color w:val="000000"/>
          <w:sz w:val="28"/>
          <w:szCs w:val="28"/>
          <w:highlight w:val="none"/>
          <w:lang w:val="en-US" w:eastAsia="zh-CN"/>
        </w:rPr>
        <w:t>20230115</w:t>
      </w: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招标</w:t>
      </w:r>
      <w:r>
        <w:rPr>
          <w:rFonts w:hint="eastAsia" w:ascii="仿宋_GB2312" w:hAnsi="仿宋_GB2312" w:eastAsia="仿宋_GB2312" w:cs="仿宋_GB2312"/>
          <w:color w:val="000000"/>
          <w:sz w:val="44"/>
          <w:szCs w:val="44"/>
          <w:highlight w:val="none"/>
          <w:lang w:val="en-US" w:eastAsia="zh-CN"/>
        </w:rPr>
        <w:t>文件</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both"/>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28"/>
          <w:szCs w:val="28"/>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bCs w:val="0"/>
          <w:color w:val="0000FF"/>
          <w:sz w:val="28"/>
          <w:szCs w:val="28"/>
          <w:highlight w:val="none"/>
          <w:lang w:val="en-US" w:eastAsia="zh-CN"/>
        </w:rPr>
      </w:pPr>
      <w:r>
        <w:rPr>
          <w:rFonts w:hint="eastAsia" w:ascii="仿宋_GB2312" w:hAnsi="仿宋_GB2312" w:eastAsia="仿宋_GB2312" w:cs="仿宋_GB2312"/>
          <w:b/>
          <w:bCs w:val="0"/>
          <w:snapToGrid w:val="0"/>
          <w:color w:val="000000"/>
          <w:sz w:val="28"/>
          <w:szCs w:val="28"/>
          <w:highlight w:val="none"/>
          <w:lang w:val="en-US" w:eastAsia="zh-CN"/>
        </w:rPr>
        <w:t>2024</w:t>
      </w:r>
      <w:r>
        <w:rPr>
          <w:rFonts w:hint="eastAsia" w:ascii="仿宋_GB2312" w:hAnsi="仿宋_GB2312" w:eastAsia="仿宋_GB2312" w:cs="仿宋_GB2312"/>
          <w:b/>
          <w:bCs w:val="0"/>
          <w:snapToGrid w:val="0"/>
          <w:color w:val="000000"/>
          <w:sz w:val="28"/>
          <w:szCs w:val="28"/>
          <w:highlight w:val="none"/>
          <w:lang w:eastAsia="zh-CN"/>
        </w:rPr>
        <w:t>年</w:t>
      </w:r>
      <w:r>
        <w:rPr>
          <w:rFonts w:hint="eastAsia" w:ascii="仿宋_GB2312" w:hAnsi="仿宋_GB2312" w:eastAsia="仿宋_GB2312" w:cs="仿宋_GB2312"/>
          <w:b/>
          <w:bCs w:val="0"/>
          <w:snapToGrid w:val="0"/>
          <w:color w:val="000000"/>
          <w:sz w:val="28"/>
          <w:szCs w:val="28"/>
          <w:highlight w:val="none"/>
          <w:lang w:val="en-US" w:eastAsia="zh-CN"/>
        </w:rPr>
        <w:t>1</w:t>
      </w:r>
      <w:r>
        <w:rPr>
          <w:rFonts w:hint="eastAsia" w:ascii="仿宋_GB2312" w:hAnsi="仿宋_GB2312" w:eastAsia="仿宋_GB2312" w:cs="仿宋_GB2312"/>
          <w:b/>
          <w:bCs w:val="0"/>
          <w:snapToGrid w:val="0"/>
          <w:color w:val="000000"/>
          <w:sz w:val="28"/>
          <w:szCs w:val="28"/>
          <w:highlight w:val="none"/>
        </w:rPr>
        <w:t>月</w:t>
      </w:r>
      <w:r>
        <w:rPr>
          <w:rFonts w:hint="eastAsia" w:ascii="仿宋_GB2312" w:hAnsi="仿宋_GB2312" w:eastAsia="仿宋_GB2312" w:cs="仿宋_GB2312"/>
          <w:b/>
          <w:bCs w:val="0"/>
          <w:snapToGrid w:val="0"/>
          <w:color w:val="000000"/>
          <w:sz w:val="28"/>
          <w:szCs w:val="28"/>
          <w:highlight w:val="none"/>
          <w:lang w:val="en-US" w:eastAsia="zh-CN"/>
        </w:rPr>
        <w:t>24</w:t>
      </w:r>
      <w:r>
        <w:rPr>
          <w:rFonts w:hint="eastAsia" w:ascii="仿宋_GB2312" w:hAnsi="仿宋_GB2312" w:eastAsia="仿宋_GB2312" w:cs="仿宋_GB2312"/>
          <w:b/>
          <w:bCs w:val="0"/>
          <w:snapToGrid w:val="0"/>
          <w:color w:val="00000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28"/>
          <w:szCs w:val="28"/>
          <w:highlight w:val="none"/>
        </w:rPr>
        <w:br w:type="page"/>
      </w:r>
      <w:r>
        <w:rPr>
          <w:rFonts w:hint="eastAsia" w:ascii="仿宋_GB2312" w:hAnsi="仿宋_GB2312" w:eastAsia="仿宋_GB2312" w:cs="仿宋_GB2312"/>
          <w:b/>
          <w:bCs/>
          <w:snapToGrid w:val="0"/>
          <w:color w:val="000000"/>
          <w:sz w:val="32"/>
          <w:szCs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28"/>
          <w:szCs w:val="28"/>
          <w:highlight w:val="none"/>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本招标文件专用于江苏常熟农村商业银行股份有限公司本次“</w:t>
      </w:r>
      <w:r>
        <w:rPr>
          <w:rFonts w:hint="eastAsia" w:ascii="仿宋_GB2312" w:hAnsi="仿宋_GB2312" w:eastAsia="仿宋_GB2312" w:cs="仿宋_GB2312"/>
          <w:snapToGrid w:val="0"/>
          <w:color w:val="000000"/>
          <w:sz w:val="28"/>
          <w:szCs w:val="28"/>
          <w:highlight w:val="none"/>
          <w:u w:val="single"/>
        </w:rPr>
        <w:t>外部威胁情报服务采购项目</w:t>
      </w:r>
      <w:r>
        <w:rPr>
          <w:rFonts w:hint="eastAsia" w:ascii="仿宋_GB2312" w:hAnsi="仿宋_GB2312" w:eastAsia="仿宋_GB2312" w:cs="仿宋_GB2312"/>
          <w:snapToGrid w:val="0"/>
          <w:color w:val="000000"/>
          <w:sz w:val="28"/>
          <w:szCs w:val="28"/>
          <w:highlight w:val="none"/>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snapToGrid w:val="0"/>
          <w:sz w:val="28"/>
          <w:szCs w:val="28"/>
          <w:highlight w:val="none"/>
        </w:rPr>
        <w:t>第一部分</w:t>
      </w:r>
      <w:r>
        <w:rPr>
          <w:rFonts w:hint="eastAsia" w:ascii="仿宋_GB2312" w:hAnsi="仿宋_GB2312" w:eastAsia="仿宋_GB2312" w:cs="仿宋_GB2312"/>
          <w:b/>
          <w:snapToGrid w:val="0"/>
          <w:sz w:val="28"/>
          <w:szCs w:val="28"/>
          <w:highlight w:val="none"/>
          <w:lang w:val="en-US" w:eastAsia="zh-CN"/>
        </w:rPr>
        <w:t xml:space="preserve">  </w:t>
      </w:r>
      <w:r>
        <w:rPr>
          <w:rFonts w:hint="eastAsia" w:ascii="仿宋_GB2312" w:hAnsi="仿宋_GB2312" w:eastAsia="仿宋_GB2312" w:cs="仿宋_GB2312"/>
          <w:b/>
          <w:snapToGrid w:val="0"/>
          <w:sz w:val="28"/>
          <w:szCs w:val="28"/>
          <w:highlight w:val="none"/>
        </w:rPr>
        <w:t>投标</w:t>
      </w:r>
      <w:bookmarkStart w:id="0" w:name="投标邀请函"/>
      <w:bookmarkEnd w:id="0"/>
      <w:r>
        <w:rPr>
          <w:rFonts w:hint="eastAsia" w:ascii="仿宋_GB2312" w:hAnsi="仿宋_GB2312" w:eastAsia="仿宋_GB2312" w:cs="仿宋_GB2312"/>
          <w:b/>
          <w:snapToGrid w:val="0"/>
          <w:sz w:val="28"/>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根据江苏常熟农村商业银行股份有限公司业务发展需求，现就</w:t>
      </w:r>
      <w:r>
        <w:rPr>
          <w:rFonts w:hint="eastAsia" w:ascii="仿宋_GB2312" w:hAnsi="仿宋_GB2312" w:eastAsia="仿宋_GB2312" w:cs="仿宋_GB2312"/>
          <w:snapToGrid w:val="0"/>
          <w:color w:val="000000"/>
          <w:sz w:val="28"/>
          <w:szCs w:val="28"/>
          <w:highlight w:val="none"/>
          <w:lang w:eastAsia="zh-CN"/>
        </w:rPr>
        <w:t>我行</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napToGrid w:val="0"/>
          <w:color w:val="000000"/>
          <w:sz w:val="28"/>
          <w:szCs w:val="28"/>
          <w:highlight w:val="none"/>
          <w:u w:val="single"/>
          <w:lang w:val="en-US" w:eastAsia="zh-CN"/>
        </w:rPr>
        <w:t>外部威胁情报服务采购项</w:t>
      </w:r>
      <w:r>
        <w:rPr>
          <w:rFonts w:hint="eastAsia" w:ascii="仿宋_GB2312" w:hAnsi="仿宋_GB2312" w:eastAsia="仿宋_GB2312" w:cs="仿宋_GB2312"/>
          <w:snapToGrid w:val="0"/>
          <w:color w:val="000000"/>
          <w:sz w:val="28"/>
          <w:szCs w:val="28"/>
          <w:highlight w:val="none"/>
          <w:u w:val="single"/>
        </w:rPr>
        <w:t>目</w:t>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20230115</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szCs w:val="28"/>
          <w:highlight w:val="none"/>
        </w:rPr>
        <w:t>江苏常熟农村商业银行股份有限公司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w:t>
      </w:r>
      <w:r>
        <w:rPr>
          <w:rFonts w:hint="eastAsia" w:ascii="仿宋_GB2312" w:hAnsi="仿宋_GB2312" w:eastAsia="仿宋_GB2312" w:cs="仿宋_GB2312"/>
          <w:b/>
          <w:bCs/>
          <w:snapToGrid w:val="0"/>
          <w:sz w:val="28"/>
          <w:szCs w:val="28"/>
          <w:highlight w:val="none"/>
          <w:lang w:val="en-US" w:eastAsia="zh-CN"/>
        </w:rPr>
        <w:t>/提供</w:t>
      </w:r>
      <w:r>
        <w:rPr>
          <w:rFonts w:hint="eastAsia" w:ascii="仿宋_GB2312" w:hAnsi="仿宋_GB2312" w:eastAsia="仿宋_GB2312" w:cs="仿宋_GB2312"/>
          <w:b/>
          <w:bCs/>
          <w:snapToGrid w:val="0"/>
          <w:sz w:val="28"/>
          <w:szCs w:val="28"/>
          <w:highlight w:val="none"/>
        </w:rPr>
        <w:t>地点：</w:t>
      </w:r>
      <w:r>
        <w:rPr>
          <w:rFonts w:hint="eastAsia" w:ascii="仿宋_GB2312" w:hAnsi="仿宋_GB2312" w:eastAsia="仿宋_GB2312" w:cs="仿宋_GB2312"/>
          <w:snapToGrid w:val="0"/>
          <w:color w:val="000000"/>
          <w:sz w:val="28"/>
          <w:szCs w:val="28"/>
          <w:highlight w:val="none"/>
          <w:lang w:val="en-US" w:eastAsia="zh-CN"/>
        </w:rPr>
        <w:t xml:space="preserve"> 江苏省常熟市新世纪大道58号</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01</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24</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02</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18</w:t>
      </w:r>
      <w:r>
        <w:rPr>
          <w:rFonts w:hint="eastAsia" w:ascii="仿宋_GB2312" w:hAnsi="仿宋_GB2312" w:eastAsia="仿宋_GB2312" w:cs="仿宋_GB2312"/>
          <w:b w:val="0"/>
          <w:bCs w:val="0"/>
          <w:snapToGrid w:val="0"/>
          <w:color w:val="000000"/>
          <w:sz w:val="28"/>
          <w:szCs w:val="28"/>
          <w:highlight w:val="none"/>
          <w:lang w:eastAsia="zh-CN"/>
        </w:rPr>
        <w:t>日</w:t>
      </w:r>
      <w:bookmarkStart w:id="2" w:name="_GoBack"/>
      <w:bookmarkEnd w:id="2"/>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Chars="0" w:right="0" w:rightChars="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项目</w:t>
      </w:r>
      <w:r>
        <w:rPr>
          <w:rFonts w:hint="eastAsia" w:ascii="仿宋_GB2312" w:hAnsi="仿宋_GB2312" w:eastAsia="仿宋_GB2312" w:cs="仿宋_GB2312"/>
          <w:kern w:val="0"/>
          <w:sz w:val="28"/>
          <w:szCs w:val="28"/>
          <w:highlight w:val="none"/>
        </w:rPr>
        <w:t>联系人：</w:t>
      </w:r>
      <w:r>
        <w:rPr>
          <w:rFonts w:hint="eastAsia" w:ascii="仿宋_GB2312" w:hAnsi="仿宋_GB2312" w:eastAsia="仿宋_GB2312" w:cs="仿宋_GB2312"/>
          <w:kern w:val="0"/>
          <w:sz w:val="28"/>
          <w:szCs w:val="28"/>
          <w:highlight w:val="none"/>
          <w:lang w:eastAsia="zh-CN"/>
        </w:rPr>
        <w:t>孙浩</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rPr>
        <w:t>0512-69862819</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集中采购办公室联系人</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i w:val="0"/>
          <w:iCs w:val="0"/>
          <w:snapToGrid w:val="0"/>
          <w:color w:val="000000"/>
          <w:sz w:val="28"/>
          <w:szCs w:val="28"/>
          <w:highlight w:val="none"/>
          <w:lang w:eastAsia="zh-CN"/>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color w:val="000000"/>
          <w:sz w:val="28"/>
          <w:szCs w:val="28"/>
          <w:highlight w:val="none"/>
          <w:lang w:eastAsia="zh-CN"/>
        </w:rPr>
      </w:pPr>
    </w:p>
    <w:p>
      <w:pPr>
        <w:autoSpaceDE w:val="0"/>
        <w:autoSpaceDN w:val="0"/>
        <w:adjustRightInd w:val="0"/>
        <w:spacing w:after="240" w:line="560" w:lineRule="atLeast"/>
        <w:ind w:firstLine="624"/>
        <w:jc w:val="righ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总体说明</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本招标文件仅适用于江苏常熟农村商业银行股份有限公司（以下简称“常熟农商银行”）“</w:t>
      </w:r>
      <w:r>
        <w:rPr>
          <w:rFonts w:hint="eastAsia" w:ascii="仿宋_GB2312" w:hAnsi="仿宋_GB2312" w:eastAsia="仿宋_GB2312" w:cs="仿宋_GB2312"/>
          <w:snapToGrid w:val="0"/>
          <w:color w:val="000000"/>
          <w:sz w:val="28"/>
          <w:szCs w:val="28"/>
          <w:highlight w:val="none"/>
          <w:u w:val="single"/>
          <w:lang w:val="en-US" w:eastAsia="zh-CN"/>
        </w:rPr>
        <w:t>外部威胁情报服务采购</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rPr>
        <w:t>”而进行的公开</w:t>
      </w:r>
      <w:r>
        <w:rPr>
          <w:rFonts w:hint="eastAsia" w:ascii="仿宋_GB2312" w:hAnsi="仿宋_GB2312" w:eastAsia="仿宋_GB2312" w:cs="仿宋_GB2312"/>
          <w:snapToGrid w:val="0"/>
          <w:color w:val="000000"/>
          <w:sz w:val="28"/>
          <w:szCs w:val="28"/>
          <w:highlight w:val="none"/>
          <w:lang w:val="en-US" w:eastAsia="zh-CN"/>
        </w:rPr>
        <w:t>招标</w:t>
      </w:r>
      <w:r>
        <w:rPr>
          <w:rFonts w:hint="eastAsia" w:ascii="仿宋_GB2312" w:hAnsi="仿宋_GB2312" w:eastAsia="仿宋_GB2312" w:cs="仿宋_GB2312"/>
          <w:snapToGrid w:val="0"/>
          <w:color w:val="000000"/>
          <w:sz w:val="28"/>
          <w:szCs w:val="28"/>
          <w:highlight w:val="none"/>
        </w:rPr>
        <w:t>。</w:t>
      </w:r>
    </w:p>
    <w:p>
      <w:pPr>
        <w:pStyle w:val="4"/>
        <w:numPr>
          <w:ilvl w:val="0"/>
          <w:numId w:val="3"/>
        </w:numPr>
        <w:spacing w:line="240" w:lineRule="auto"/>
        <w:ind w:firstLine="420" w:firstLineChars="0"/>
        <w:jc w:val="both"/>
        <w:rPr>
          <w:rFonts w:hint="eastAsia" w:ascii="仿宋_GB2312" w:hAnsi="仿宋_GB2312" w:eastAsia="仿宋_GB2312" w:cs="仿宋_GB2312"/>
          <w:b w:val="0"/>
          <w:bCs/>
          <w:snapToGrid w:val="0"/>
          <w:sz w:val="28"/>
          <w:szCs w:val="28"/>
          <w:highlight w:val="none"/>
        </w:rPr>
      </w:pPr>
      <w:r>
        <w:rPr>
          <w:rFonts w:hint="eastAsia" w:ascii="仿宋_GB2312" w:hAnsi="仿宋_GB2312" w:eastAsia="仿宋_GB2312" w:cs="仿宋_GB2312"/>
          <w:b w:val="0"/>
          <w:bCs/>
          <w:snapToGrid w:val="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投标文件未送达指定地点，指定接收人。</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投标人必须为具有独立企业法人资格，具有合法名称、组织机构、固定的办公场所，且具有良好的技术力量、商业信誉和售后服务体系的设备（系统）分销商、厂商。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sz w:val="28"/>
          <w:szCs w:val="28"/>
          <w:highlight w:val="none"/>
        </w:rPr>
        <w:t>投标商需具有原厂授权，并具有一定数量的获得认证的工程师。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投标人近3年来签署过类似合同、承担过类似项目及成功案例，案例数不少于</w:t>
      </w:r>
      <w:r>
        <w:rPr>
          <w:rFonts w:hint="eastAsia" w:ascii="仿宋_GB2312" w:hAnsi="仿宋_GB2312" w:eastAsia="仿宋_GB2312" w:cs="仿宋_GB2312"/>
          <w:snapToGrid w:val="0"/>
          <w:color w:val="000000"/>
          <w:sz w:val="28"/>
          <w:szCs w:val="28"/>
          <w:highlight w:val="none"/>
          <w:u w:val="single"/>
        </w:rPr>
        <w:t>3</w:t>
      </w:r>
      <w:r>
        <w:rPr>
          <w:rFonts w:hint="eastAsia" w:ascii="仿宋_GB2312" w:hAnsi="仿宋_GB2312" w:eastAsia="仿宋_GB2312" w:cs="仿宋_GB2312"/>
          <w:snapToGrid w:val="0"/>
          <w:color w:val="000000"/>
          <w:sz w:val="28"/>
          <w:szCs w:val="28"/>
          <w:highlight w:val="none"/>
        </w:rPr>
        <w:t>个</w:t>
      </w:r>
      <w:r>
        <w:rPr>
          <w:rFonts w:hint="eastAsia" w:ascii="仿宋_GB2312" w:hAnsi="仿宋_GB2312" w:eastAsia="仿宋_GB2312" w:cs="仿宋_GB2312"/>
          <w:snapToGrid w:val="0"/>
          <w:color w:val="000000"/>
          <w:sz w:val="28"/>
          <w:szCs w:val="28"/>
          <w:highlight w:val="none"/>
        </w:rPr>
        <w:t>。</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标的项目中如包含的第三方产品和服务，要求投标人出具第三方授权书（包括产品、服务功能和价格），招标人保留对该第三方资格认定及与其直接签署合同的权利。</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可对已发出的招标文件进行必要的澄清或修改，并将在指定网站上发布更正公告。各投标人应在投标截止时间前关注本招标公告网站上更正公告栏，按规定获取相关信息内容，否则其投标风险由投标人承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招标单位对招标文件作出了澄清、修改的，澄清、修改内容自招标单位发布更正公告发布之时发生效力，有关澄清或者修改的内容为招标文件的组成部分，对所有招标文件收受人均具有约束力。</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投标人一旦参加投标，即被认为接受了本招标文件中的所有内容和规定。</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投标人应自行承担与参加投标有关的全部费用，招标人在任何情况下无义务和责任承担上述费用。</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投标文件说明</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除非有特殊要求，招标文件不单独提供招标设备（系统）或服务使用地的自然环境、气候条件、公用设施等情况，投标人被视为熟悉上述情况。</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必须按照本招标文件要求制作</w:t>
      </w:r>
      <w:r>
        <w:rPr>
          <w:rFonts w:hint="eastAsia" w:ascii="仿宋_GB2312" w:hAnsi="仿宋_GB2312" w:eastAsia="仿宋_GB2312" w:cs="仿宋_GB2312"/>
          <w:snapToGrid w:val="0"/>
          <w:color w:val="000000"/>
          <w:sz w:val="28"/>
          <w:szCs w:val="28"/>
          <w:highlight w:val="none"/>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1</w:t>
      </w:r>
      <w:r>
        <w:rPr>
          <w:rFonts w:hint="eastAsia" w:ascii="仿宋_GB2312" w:hAnsi="仿宋_GB2312" w:eastAsia="仿宋_GB2312" w:cs="仿宋_GB2312"/>
          <w:b/>
          <w:bCs/>
          <w:snapToGrid w:val="0"/>
          <w:sz w:val="28"/>
          <w:szCs w:val="28"/>
          <w:highlight w:val="none"/>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lang w:eastAsia="zh-CN"/>
        </w:rPr>
        <w:t>说明：</w:t>
      </w:r>
      <w:r>
        <w:rPr>
          <w:rFonts w:hint="eastAsia" w:ascii="仿宋_GB2312" w:hAnsi="仿宋_GB2312" w:eastAsia="仿宋_GB2312" w:cs="仿宋_GB2312"/>
          <w:snapToGrid w:val="0"/>
          <w:sz w:val="24"/>
          <w:szCs w:val="24"/>
          <w:highlight w:val="none"/>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2：</w:t>
      </w:r>
      <w:r>
        <w:rPr>
          <w:rFonts w:hint="eastAsia" w:ascii="仿宋_GB2312" w:hAnsi="仿宋_GB2312" w:eastAsia="仿宋_GB2312" w:cs="仿宋_GB2312"/>
          <w:b/>
          <w:bCs/>
          <w:snapToGrid w:val="0"/>
          <w:sz w:val="28"/>
          <w:szCs w:val="28"/>
          <w:highlight w:val="none"/>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4</w:t>
      </w:r>
      <w:r>
        <w:rPr>
          <w:rFonts w:hint="eastAsia" w:ascii="仿宋_GB2312" w:hAnsi="仿宋_GB2312" w:eastAsia="仿宋_GB2312" w:cs="仿宋_GB2312"/>
          <w:snapToGrid w:val="0"/>
          <w:sz w:val="24"/>
          <w:szCs w:val="24"/>
          <w:highlight w:val="none"/>
          <w:lang w:val="en-US" w:eastAsia="zh-Hans"/>
        </w:rPr>
        <w:t>）项目进度和质量保障方案。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5</w:t>
      </w:r>
      <w:r>
        <w:rPr>
          <w:rFonts w:hint="eastAsia" w:ascii="仿宋_GB2312" w:hAnsi="仿宋_GB2312" w:eastAsia="仿宋_GB2312" w:cs="仿宋_GB2312"/>
          <w:snapToGrid w:val="0"/>
          <w:sz w:val="24"/>
          <w:szCs w:val="24"/>
          <w:highlight w:val="none"/>
          <w:lang w:val="en-US" w:eastAsia="zh-Hans"/>
        </w:rPr>
        <w:t>）项目风险评估与控制方案。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6</w:t>
      </w: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CN"/>
        </w:rPr>
        <w:t>售后服务与支持</w:t>
      </w:r>
      <w:r>
        <w:rPr>
          <w:rFonts w:hint="eastAsia" w:ascii="仿宋_GB2312" w:hAnsi="仿宋_GB2312" w:eastAsia="仿宋_GB2312" w:cs="仿宋_GB2312"/>
          <w:snapToGrid w:val="0"/>
          <w:sz w:val="24"/>
          <w:szCs w:val="24"/>
          <w:highlight w:val="none"/>
          <w:lang w:val="en-US" w:eastAsia="zh-Hans"/>
        </w:rPr>
        <w:t>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w:t>
      </w:r>
      <w:r>
        <w:rPr>
          <w:rFonts w:hint="eastAsia" w:ascii="仿宋_GB2312" w:hAnsi="仿宋_GB2312" w:eastAsia="仿宋_GB2312" w:cs="仿宋_GB2312"/>
          <w:snapToGrid w:val="0"/>
          <w:sz w:val="24"/>
          <w:szCs w:val="24"/>
          <w:highlight w:val="none"/>
        </w:rPr>
        <w:t>（以加盖公章的合同复印件为准）</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附件11:投标人信用信息查询说明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说明：投标人提供</w:t>
      </w:r>
      <w:r>
        <w:rPr>
          <w:rFonts w:hint="eastAsia" w:ascii="仿宋_GB2312" w:hAnsi="仿宋_GB2312" w:eastAsia="仿宋_GB2312" w:cs="仿宋_GB2312"/>
          <w:snapToGrid w:val="0"/>
          <w:sz w:val="24"/>
          <w:szCs w:val="24"/>
          <w:highlight w:val="none"/>
          <w:lang w:eastAsia="zh-CN"/>
        </w:rPr>
        <w:t>信用信息查询渠道及截止时间、信用信息查询记录和证据留存的具体方式、信用信息的使用规则等，</w:t>
      </w:r>
      <w:r>
        <w:rPr>
          <w:rFonts w:hint="eastAsia" w:ascii="仿宋_GB2312" w:hAnsi="仿宋_GB2312" w:eastAsia="仿宋_GB2312" w:cs="仿宋_GB2312"/>
          <w:snapToGrid w:val="0"/>
          <w:sz w:val="24"/>
          <w:szCs w:val="24"/>
          <w:highlight w:val="none"/>
          <w:lang w:val="en-US" w:eastAsia="zh-CN"/>
        </w:rPr>
        <w:t>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附件12：其他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说明：投标人自愿提供的其他全部文件。</w:t>
      </w:r>
    </w:p>
    <w:p>
      <w:pPr>
        <w:pStyle w:val="4"/>
        <w:numPr>
          <w:ilvl w:val="0"/>
          <w:numId w:val="7"/>
        </w:numPr>
        <w:ind w:firstLine="420" w:firstLineChars="0"/>
        <w:jc w:val="both"/>
        <w:rPr>
          <w:rFonts w:hint="eastAsia" w:ascii="仿宋_GB2312" w:hAnsi="仿宋_GB2312" w:eastAsia="仿宋_GB2312" w:cs="仿宋_GB2312"/>
          <w:b w:val="0"/>
          <w:snapToGrid w:val="0"/>
          <w:sz w:val="28"/>
          <w:szCs w:val="28"/>
          <w:highlight w:val="none"/>
        </w:rPr>
      </w:pPr>
      <w:r>
        <w:rPr>
          <w:rFonts w:hint="eastAsia" w:ascii="仿宋_GB2312" w:hAnsi="仿宋_GB2312" w:eastAsia="仿宋_GB2312" w:cs="仿宋_GB2312"/>
          <w:b w:val="0"/>
          <w:bCs/>
          <w:snapToGrid/>
          <w:sz w:val="28"/>
          <w:szCs w:val="28"/>
          <w:highlight w:val="none"/>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投标文件的递交</w:t>
      </w:r>
    </w:p>
    <w:p>
      <w:pPr>
        <w:pStyle w:val="4"/>
        <w:numPr>
          <w:ilvl w:val="0"/>
          <w:numId w:val="10"/>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投标人应将投标文件的正本和副本分别用非透明文件袋密封，在封签处加盖公章，并标明投标人名称、正本或副本、招标编号</w:t>
      </w:r>
      <w:r>
        <w:rPr>
          <w:rFonts w:hint="eastAsia" w:ascii="仿宋_GB2312" w:hAnsi="仿宋_GB2312" w:eastAsia="仿宋_GB2312" w:cs="仿宋_GB2312"/>
          <w:snapToGrid w:val="0"/>
          <w:color w:val="000000"/>
          <w:kern w:val="2"/>
          <w:sz w:val="28"/>
          <w:szCs w:val="28"/>
          <w:highlight w:val="none"/>
          <w:lang w:val="en-US" w:eastAsia="zh-CN" w:bidi="ar-SA"/>
        </w:rPr>
        <w:t>、投标标段、联系方式（手机号）、邮箱</w:t>
      </w:r>
      <w:r>
        <w:rPr>
          <w:rFonts w:hint="eastAsia" w:ascii="仿宋_GB2312" w:hAnsi="仿宋_GB2312" w:eastAsia="仿宋_GB2312" w:cs="仿宋_GB2312"/>
          <w:snapToGrid w:val="0"/>
          <w:color w:val="000000"/>
          <w:sz w:val="28"/>
          <w:szCs w:val="28"/>
          <w:highlight w:val="none"/>
        </w:rPr>
        <w:t>。</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投标文件须标注页码：封面后的第一页为标书的目录，整本标书须标注统一的页码，成功案例合同等复印件可以手工填上统一的页码。</w:t>
      </w:r>
    </w:p>
    <w:p>
      <w:pPr>
        <w:pStyle w:val="4"/>
        <w:numPr>
          <w:ilvl w:val="0"/>
          <w:numId w:val="10"/>
        </w:numPr>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highlight w:val="none"/>
          <w:u w:val="none"/>
        </w:rPr>
      </w:pPr>
      <w:r>
        <w:rPr>
          <w:rFonts w:hint="eastAsia" w:ascii="仿宋_GB2312" w:hAnsi="仿宋_GB2312" w:eastAsia="仿宋_GB2312" w:cs="仿宋_GB2312"/>
          <w:snapToGrid w:val="0"/>
          <w:color w:val="FF0000"/>
          <w:sz w:val="28"/>
          <w:szCs w:val="28"/>
          <w:highlight w:val="none"/>
          <w:u w:val="none"/>
          <w:lang w:val="en-US" w:eastAsia="zh-CN"/>
        </w:rPr>
        <w:t>本项目无投标保证金。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（1）中标人在收到中标通知书后，无法定正当理由拒签合同协议书或未按招标文件规定提交履约保证金/提供银行履约保函（独立保函）;</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7.非中标候选人，在中标公示期结束后10个工作日内，可办理投标保证金的无息退还。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8.中标人收到中标通知书，并提交履约保证金/提供银行履约保函（独立保函）后，可办理投标保证金的无息退还。</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开标和评标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开标</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auto"/>
          <w:sz w:val="28"/>
          <w:szCs w:val="28"/>
          <w:highlight w:val="none"/>
        </w:rPr>
        <w:t>招标人对本次招标</w:t>
      </w:r>
      <w:r>
        <w:rPr>
          <w:rFonts w:hint="eastAsia" w:ascii="仿宋_GB2312" w:hAnsi="仿宋_GB2312" w:eastAsia="仿宋_GB2312" w:cs="仿宋_GB2312"/>
          <w:snapToGrid w:val="0"/>
          <w:color w:val="auto"/>
          <w:sz w:val="28"/>
          <w:szCs w:val="28"/>
          <w:highlight w:val="none"/>
          <w:lang w:val="en-US" w:eastAsia="zh-CN"/>
        </w:rPr>
        <w:t>视情况</w:t>
      </w:r>
      <w:r>
        <w:rPr>
          <w:rFonts w:hint="eastAsia" w:ascii="仿宋_GB2312" w:hAnsi="仿宋_GB2312" w:eastAsia="仿宋_GB2312" w:cs="仿宋_GB2312"/>
          <w:snapToGrid w:val="0"/>
          <w:color w:val="auto"/>
          <w:sz w:val="28"/>
          <w:szCs w:val="28"/>
          <w:highlight w:val="none"/>
        </w:rPr>
        <w:t>进行现场开标</w:t>
      </w:r>
      <w:r>
        <w:rPr>
          <w:rFonts w:hint="eastAsia" w:ascii="仿宋_GB2312" w:hAnsi="仿宋_GB2312" w:eastAsia="仿宋_GB2312" w:cs="仿宋_GB2312"/>
          <w:snapToGrid w:val="0"/>
          <w:color w:val="000000"/>
          <w:sz w:val="28"/>
          <w:szCs w:val="28"/>
          <w:highlight w:val="none"/>
        </w:rPr>
        <w:t>，投标人代表应出示代表投标人参加开标的授权证明及本人身份证明。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开标过程由投标人进行时间不超过</w:t>
      </w:r>
      <w:r>
        <w:rPr>
          <w:rFonts w:hint="eastAsia" w:ascii="仿宋_GB2312" w:hAnsi="仿宋_GB2312" w:eastAsia="仿宋_GB2312" w:cs="仿宋_GB2312"/>
          <w:snapToGrid w:val="0"/>
          <w:color w:val="000000"/>
          <w:sz w:val="28"/>
          <w:szCs w:val="28"/>
          <w:highlight w:val="none"/>
          <w:lang w:val="en-US" w:eastAsia="zh-CN"/>
        </w:rPr>
        <w:t>20</w:t>
      </w:r>
      <w:r>
        <w:rPr>
          <w:rFonts w:hint="eastAsia" w:ascii="仿宋_GB2312" w:hAnsi="仿宋_GB2312" w:eastAsia="仿宋_GB2312" w:cs="仿宋_GB2312"/>
          <w:snapToGrid w:val="0"/>
          <w:color w:val="000000"/>
          <w:sz w:val="28"/>
          <w:szCs w:val="28"/>
          <w:highlight w:val="none"/>
        </w:rPr>
        <w:t>分钟的讲标，必须由此项目的实施项目经理讲标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highlight w:val="none"/>
        </w:rPr>
        <w:t>。</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rPr>
      </w:pPr>
      <w:r>
        <w:rPr>
          <w:rFonts w:hint="eastAsia" w:ascii="仿宋_GB2312" w:hAnsi="仿宋_GB2312" w:eastAsia="仿宋_GB2312" w:cs="仿宋_GB2312"/>
          <w:b w:val="0"/>
          <w:bCs/>
          <w:snapToGrid w:val="0"/>
          <w:color w:val="000000"/>
          <w:sz w:val="28"/>
          <w:szCs w:val="28"/>
          <w:highlight w:val="none"/>
          <w:lang w:val="en-US" w:eastAsia="zh-CN"/>
        </w:rPr>
        <w:t>评标方式</w:t>
      </w:r>
    </w:p>
    <w:p>
      <w:pPr>
        <w:numPr>
          <w:ilvl w:val="-1"/>
          <w:numId w:val="0"/>
        </w:numPr>
        <w:autoSpaceDE w:val="0"/>
        <w:autoSpaceDN w:val="0"/>
        <w:adjustRightInd w:val="0"/>
        <w:spacing w:line="560" w:lineRule="atLeast"/>
        <w:ind w:left="420" w:leftChars="20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综合评分法，其中价格分占评分权重</w:t>
      </w:r>
      <w:r>
        <w:rPr>
          <w:rFonts w:hint="eastAsia" w:ascii="仿宋_GB2312" w:hAnsi="仿宋_GB2312" w:eastAsia="仿宋_GB2312" w:cs="仿宋_GB2312"/>
          <w:b w:val="0"/>
          <w:bCs w:val="0"/>
          <w:snapToGrid w:val="0"/>
          <w:color w:val="000000"/>
          <w:sz w:val="28"/>
          <w:szCs w:val="28"/>
          <w:highlight w:val="none"/>
          <w:u w:val="single"/>
          <w:lang w:val="en-US" w:eastAsia="zh-CN"/>
        </w:rPr>
        <w:t>50</w:t>
      </w:r>
      <w:r>
        <w:rPr>
          <w:rFonts w:hint="eastAsia" w:ascii="仿宋_GB2312" w:hAnsi="仿宋_GB2312" w:eastAsia="仿宋_GB2312" w:cs="仿宋_GB2312"/>
          <w:snapToGrid w:val="0"/>
          <w:color w:val="000000"/>
          <w:sz w:val="28"/>
          <w:szCs w:val="28"/>
          <w:highlight w:val="none"/>
          <w:lang w:val="en-US" w:eastAsia="zh-CN"/>
        </w:rPr>
        <w:t>%</w:t>
      </w:r>
      <w:r>
        <w:rPr>
          <w:rFonts w:hint="eastAsia" w:ascii="仿宋_GB2312" w:hAnsi="仿宋_GB2312" w:eastAsia="仿宋_GB2312" w:cs="仿宋_GB2312"/>
          <w:snapToGrid w:val="0"/>
          <w:color w:val="000000"/>
          <w:sz w:val="28"/>
          <w:szCs w:val="28"/>
          <w:highlight w:val="none"/>
          <w:lang w:val="en-US" w:eastAsia="zh-CN"/>
        </w:rPr>
        <w:t xml:space="preserve"> </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技术标评标因素</w:t>
      </w:r>
    </w:p>
    <w:p>
      <w:pPr>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snapToGrid w:val="0"/>
          <w:color w:val="000000"/>
          <w:sz w:val="28"/>
          <w:szCs w:val="28"/>
          <w:highlight w:val="none"/>
          <w:lang w:val="en-US" w:eastAsia="zh-CN"/>
        </w:rPr>
        <w:t xml:space="preserve">    1.详见附件《技术评分表》。</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投标文件的审查</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开标后，招标人将组织审查投标文件是否完整，是否有计算错误，文件签署</w:t>
      </w:r>
      <w:r>
        <w:rPr>
          <w:rFonts w:hint="eastAsia" w:ascii="仿宋_GB2312" w:hAnsi="仿宋_GB2312" w:eastAsia="仿宋_GB2312" w:cs="仿宋_GB2312"/>
          <w:snapToGrid w:val="0"/>
          <w:color w:val="000000"/>
          <w:sz w:val="28"/>
          <w:szCs w:val="28"/>
          <w:highlight w:val="none"/>
          <w:lang w:eastAsia="zh-CN"/>
        </w:rPr>
        <w:t>是否符合要求</w:t>
      </w:r>
      <w:r>
        <w:rPr>
          <w:rFonts w:hint="eastAsia" w:ascii="仿宋_GB2312" w:hAnsi="仿宋_GB2312" w:eastAsia="仿宋_GB2312" w:cs="仿宋_GB2312"/>
          <w:snapToGrid w:val="0"/>
          <w:color w:val="000000"/>
          <w:sz w:val="28"/>
          <w:szCs w:val="28"/>
          <w:highlight w:val="none"/>
        </w:rPr>
        <w:t>。</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招标人将拒绝被确定为非实质性响应的投标，投标人不能通过修正或撤销不符之处而使其投标成为实质性响应的投标。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投标文件的澄清不得对投标内容进行实质性修改。</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评标工作</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招标人不承诺报价最低者为中标者。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中标</w:t>
      </w:r>
      <w:r>
        <w:rPr>
          <w:rFonts w:hint="eastAsia" w:ascii="仿宋_GB2312" w:hAnsi="仿宋_GB2312" w:eastAsia="仿宋_GB2312" w:cs="仿宋_GB2312"/>
          <w:b/>
          <w:bCs/>
          <w:snapToGrid w:val="0"/>
          <w:color w:val="000000"/>
          <w:sz w:val="28"/>
          <w:szCs w:val="28"/>
          <w:highlight w:val="none"/>
          <w:lang w:eastAsia="zh-CN"/>
        </w:rPr>
        <w:t>、</w:t>
      </w:r>
      <w:r>
        <w:rPr>
          <w:rFonts w:hint="eastAsia" w:ascii="仿宋_GB2312" w:hAnsi="仿宋_GB2312" w:eastAsia="仿宋_GB2312" w:cs="仿宋_GB2312"/>
          <w:b/>
          <w:bCs/>
          <w:snapToGrid w:val="0"/>
          <w:color w:val="000000"/>
          <w:sz w:val="28"/>
          <w:szCs w:val="28"/>
          <w:highlight w:val="none"/>
          <w:lang w:val="en-US" w:eastAsia="zh-CN"/>
        </w:rPr>
        <w:t>履约担保</w:t>
      </w:r>
      <w:r>
        <w:rPr>
          <w:rFonts w:hint="eastAsia" w:ascii="仿宋_GB2312" w:hAnsi="仿宋_GB2312" w:eastAsia="仿宋_GB2312" w:cs="仿宋_GB2312"/>
          <w:b/>
          <w:bCs/>
          <w:snapToGrid w:val="0"/>
          <w:color w:val="000000"/>
          <w:sz w:val="28"/>
          <w:szCs w:val="28"/>
          <w:highlight w:val="none"/>
        </w:rPr>
        <w:t>与签署合同</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定标原则</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color w:val="000000"/>
          <w:sz w:val="28"/>
          <w:szCs w:val="28"/>
          <w:highlight w:val="none"/>
        </w:rPr>
        <w:t>招标人不承诺向投标方披露招标过程中任何细节，包括中标或落标原因。</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3.中标通知将作为招标人与中标人签订合同的依据之一。</w:t>
      </w:r>
    </w:p>
    <w:p>
      <w:pPr>
        <w:pStyle w:val="4"/>
        <w:numPr>
          <w:ilvl w:val="0"/>
          <w:numId w:val="17"/>
        </w:numPr>
        <w:ind w:firstLine="420" w:firstLineChars="0"/>
        <w:jc w:val="both"/>
        <w:rPr>
          <w:rFonts w:hint="eastAsia" w:ascii="仿宋_GB2312" w:hAnsi="仿宋_GB2312" w:eastAsia="仿宋_GB2312" w:cs="仿宋_GB2312"/>
          <w:b w:val="0"/>
          <w:color w:val="000000"/>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履约担保</w:t>
      </w:r>
    </w:p>
    <w:p>
      <w:pPr>
        <w:numPr>
          <w:ilvl w:val="0"/>
          <w:numId w:val="0"/>
        </w:numPr>
        <w:autoSpaceDE w:val="0"/>
        <w:autoSpaceDN w:val="0"/>
        <w:adjustRightInd w:val="0"/>
        <w:ind w:firstLine="560" w:firstLineChars="200"/>
        <w:rPr>
          <w:rFonts w:hint="eastAsia" w:ascii="仿宋_GB2312" w:hAnsi="仿宋_GB2312" w:eastAsia="仿宋_GB2312" w:cs="仿宋_GB2312"/>
          <w:b w:val="0"/>
          <w:snapToGrid w:val="0"/>
          <w:color w:val="000000"/>
          <w:sz w:val="28"/>
          <w:szCs w:val="28"/>
          <w:highlight w:val="none"/>
          <w:lang w:val="en-US" w:eastAsia="zh-CN"/>
        </w:rPr>
      </w:pPr>
      <w:r>
        <w:rPr>
          <w:rFonts w:hint="eastAsia" w:ascii="仿宋_GB2312" w:hAnsi="仿宋_GB2312" w:eastAsia="仿宋_GB2312" w:cs="仿宋_GB2312"/>
          <w:b w:val="0"/>
          <w:snapToGrid w:val="0"/>
          <w:color w:val="000000"/>
          <w:sz w:val="28"/>
          <w:szCs w:val="28"/>
          <w:highlight w:val="none"/>
          <w:lang w:val="en-US" w:eastAsia="zh-CN"/>
        </w:rPr>
        <w:t xml:space="preserve"> 履约保证金：本项目无履约保证金。</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招标文件、中标方的投标文件及其澄清文件等，均为签订合同的依据。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拟签订的合同文本</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合同文本参考附件，实际以最终合同为准。</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合同款的支付方式、时间和条件详见合同相关条款。</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其他未尽事项</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本项目计划选取</w:t>
      </w:r>
      <w:r>
        <w:rPr>
          <w:rFonts w:hint="eastAsia" w:ascii="仿宋_GB2312" w:hAnsi="仿宋_GB2312" w:eastAsia="仿宋_GB2312" w:cs="仿宋_GB2312"/>
          <w:snapToGrid w:val="0"/>
          <w:color w:val="000000"/>
          <w:sz w:val="28"/>
          <w:szCs w:val="28"/>
          <w:highlight w:val="none"/>
          <w:lang w:val="en-US" w:eastAsia="zh-CN"/>
        </w:rPr>
        <w:t>1</w:t>
      </w:r>
      <w:r>
        <w:rPr>
          <w:rFonts w:hint="eastAsia" w:ascii="仿宋_GB2312" w:hAnsi="仿宋_GB2312" w:eastAsia="仿宋_GB2312" w:cs="仿宋_GB2312"/>
          <w:snapToGrid w:val="0"/>
          <w:color w:val="000000"/>
          <w:sz w:val="28"/>
          <w:szCs w:val="28"/>
          <w:highlight w:val="none"/>
          <w:lang w:val="en-US" w:eastAsia="zh-CN"/>
        </w:rPr>
        <w:t>家中标单位。</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采购结果延用周期：至项目合同履约完毕</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ind w:firstLine="2811" w:firstLineChars="1000"/>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第三部分  投标文件格式</w:t>
      </w:r>
    </w:p>
    <w:p>
      <w:pPr>
        <w:pStyle w:val="3"/>
        <w:spacing w:after="0" w:line="240" w:lineRule="auto"/>
        <w:jc w:val="left"/>
        <w:rPr>
          <w:rFonts w:hint="eastAsia" w:ascii="仿宋_GB2312" w:hAnsi="仿宋_GB2312" w:eastAsia="仿宋_GB2312" w:cs="仿宋_GB2312"/>
          <w:b w:val="0"/>
          <w:snapToGrid w:val="0"/>
          <w:sz w:val="28"/>
          <w:szCs w:val="28"/>
          <w:highlight w:val="none"/>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highlight w:val="none"/>
        </w:rPr>
        <w:t>附件1：投标书</w:t>
      </w:r>
    </w:p>
    <w:p>
      <w:pPr>
        <w:pStyle w:val="20"/>
        <w:adjustRightInd w:val="0"/>
        <w:jc w:val="center"/>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32"/>
          <w:szCs w:val="32"/>
          <w:highlight w:val="none"/>
        </w:rPr>
        <w:t>投  标  书</w:t>
      </w:r>
    </w:p>
    <w:p>
      <w:pPr>
        <w:pStyle w:val="2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致：江苏常熟农村商业银行股份有限公司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招标书，投标人</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（投标人名称）提供相关文件并做出以下承诺：</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招标文件规定的全部文件正本一份，副本二份，电子文档一份。</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投标人同意如下：</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投标人完全接受招标文件中的内容，并将按招标文件的规定履行义务，按相关法律法规履行我方的全部责任。</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投标人己详细审查全部招标文件，包括修改文件以及全部参考资料和有关附件，无其他不明事项。</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投标人同意招标人要求的相关数据或资料，完全理解招标人在招标文件中确定的评标原则和程序，理解贵方不一定要接受最低报价的投标。</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none"/>
          <w:u w:val="single"/>
        </w:rPr>
        <w:t>90%</w:t>
      </w:r>
      <w:r>
        <w:rPr>
          <w:rFonts w:hint="eastAsia" w:ascii="仿宋_GB2312" w:hAnsi="仿宋_GB2312" w:eastAsia="仿宋_GB2312" w:cs="仿宋_GB2312"/>
          <w:snapToGrid w:val="0"/>
          <w:color w:val="000000"/>
          <w:sz w:val="28"/>
          <w:szCs w:val="28"/>
          <w:highlight w:val="none"/>
        </w:rPr>
        <w:t>，招标人有权扣减项目中标金额的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r>
        <w:rPr>
          <w:rFonts w:hint="eastAsia" w:ascii="仿宋_GB2312" w:hAnsi="仿宋_GB2312" w:eastAsia="仿宋_GB2312" w:cs="仿宋_GB2312"/>
          <w:snapToGrid w:val="0"/>
          <w:color w:val="000000"/>
          <w:sz w:val="28"/>
          <w:szCs w:val="28"/>
          <w:highlight w:val="none"/>
        </w:rPr>
        <w:t>（人员匹配率为：投标书匹配人员数量/投标书项目人员总数）</w:t>
      </w:r>
    </w:p>
    <w:p>
      <w:pPr>
        <w:numPr>
          <w:ilvl w:val="0"/>
          <w:numId w:val="22"/>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投标方</w:t>
      </w:r>
      <w:r>
        <w:rPr>
          <w:rFonts w:hint="eastAsia" w:ascii="仿宋_GB2312" w:hAnsi="仿宋_GB2312" w:eastAsia="仿宋_GB2312" w:cs="仿宋_GB2312"/>
          <w:color w:val="000000"/>
          <w:sz w:val="28"/>
          <w:szCs w:val="28"/>
          <w:highlight w:val="none"/>
        </w:rPr>
        <w:t>愿意按招标文件的规定交纳人民币</w:t>
      </w:r>
      <w:r>
        <w:rPr>
          <w:rFonts w:hint="eastAsia" w:ascii="仿宋_GB2312" w:hAnsi="仿宋_GB2312" w:eastAsia="仿宋_GB2312" w:cs="仿宋_GB2312"/>
          <w:color w:val="000000"/>
          <w:sz w:val="28"/>
          <w:szCs w:val="28"/>
          <w:highlight w:val="none"/>
          <w:lang w:val="en-US" w:eastAsia="zh-CN"/>
        </w:rPr>
        <w:t>(大写)</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 xml:space="preserve">     元整</w:t>
      </w:r>
      <w:r>
        <w:rPr>
          <w:rFonts w:hint="eastAsia" w:ascii="仿宋_GB2312" w:hAnsi="仿宋_GB2312" w:eastAsia="仿宋_GB2312" w:cs="仿宋_GB2312"/>
          <w:color w:val="000000"/>
          <w:sz w:val="28"/>
          <w:szCs w:val="28"/>
          <w:highlight w:val="none"/>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五、</w:t>
      </w:r>
      <w:r>
        <w:rPr>
          <w:rFonts w:hint="eastAsia" w:ascii="仿宋_GB2312" w:hAnsi="仿宋_GB2312" w:eastAsia="仿宋_GB2312" w:cs="仿宋_GB2312"/>
          <w:color w:val="000000"/>
          <w:sz w:val="28"/>
          <w:szCs w:val="28"/>
          <w:highlight w:val="none"/>
        </w:rPr>
        <w:t>如果我方被确定为中标人，我方愿意按招标文件的规定交纳履约保证金</w:t>
      </w:r>
      <w:r>
        <w:rPr>
          <w:rFonts w:hint="eastAsia" w:ascii="仿宋_GB2312" w:hAnsi="仿宋_GB2312" w:eastAsia="仿宋_GB2312" w:cs="仿宋_GB2312"/>
          <w:color w:val="000000"/>
          <w:sz w:val="28"/>
          <w:szCs w:val="28"/>
          <w:highlight w:val="none"/>
          <w:lang w:val="en-US" w:eastAsia="zh-CN"/>
        </w:rPr>
        <w:t>或向招标人提供受益人为招标人的银行履约保函（独立保函）</w:t>
      </w:r>
      <w:r>
        <w:rPr>
          <w:rFonts w:hint="eastAsia" w:ascii="仿宋_GB2312" w:hAnsi="仿宋_GB2312" w:eastAsia="仿宋_GB2312" w:cs="仿宋_GB2312"/>
          <w:color w:val="000000"/>
          <w:sz w:val="28"/>
          <w:szCs w:val="28"/>
          <w:highlight w:val="none"/>
        </w:rPr>
        <w:t>。且我方如无不可抗力，又未履行招标文件、投标文件和合同条款的，一经查实，我方愿意赔偿由此而造成的一切损失，并同意接受按招标文件的相关要求对我方进行的处理。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snapToGrid w:val="0"/>
          <w:color w:val="000000"/>
          <w:sz w:val="28"/>
          <w:szCs w:val="28"/>
          <w:highlight w:val="none"/>
        </w:rPr>
        <w:br w:type="page"/>
      </w:r>
      <w:r>
        <w:rPr>
          <w:rFonts w:hint="eastAsia" w:ascii="仿宋_GB2312" w:hAnsi="仿宋_GB2312" w:eastAsia="仿宋_GB2312" w:cs="仿宋_GB2312"/>
          <w:b w:val="0"/>
          <w:snapToGrid w:val="0"/>
          <w:color w:val="000000"/>
          <w:sz w:val="28"/>
          <w:szCs w:val="28"/>
          <w:highlight w:val="none"/>
        </w:rPr>
        <w:t>附件2：法</w:t>
      </w:r>
      <w:r>
        <w:rPr>
          <w:rFonts w:hint="eastAsia" w:ascii="仿宋_GB2312" w:hAnsi="仿宋_GB2312" w:eastAsia="仿宋_GB2312" w:cs="仿宋_GB2312"/>
          <w:b w:val="0"/>
          <w:snapToGrid w:val="0"/>
          <w:color w:val="000000"/>
          <w:sz w:val="28"/>
          <w:szCs w:val="28"/>
          <w:highlight w:val="none"/>
          <w:lang w:val="en-US" w:eastAsia="zh-CN"/>
        </w:rPr>
        <w:t>定</w:t>
      </w:r>
      <w:r>
        <w:rPr>
          <w:rFonts w:hint="eastAsia" w:ascii="仿宋_GB2312" w:hAnsi="仿宋_GB2312" w:eastAsia="仿宋_GB2312" w:cs="仿宋_GB2312"/>
          <w:b w:val="0"/>
          <w:snapToGrid w:val="0"/>
          <w:color w:val="000000"/>
          <w:sz w:val="28"/>
          <w:szCs w:val="28"/>
          <w:highlight w:val="none"/>
        </w:rPr>
        <w:t>代表授权委托书</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napToGrid w:val="0"/>
          <w:color w:val="000000"/>
          <w:sz w:val="32"/>
          <w:szCs w:val="32"/>
          <w:highlight w:val="none"/>
        </w:rPr>
        <w:t>法</w:t>
      </w:r>
      <w:r>
        <w:rPr>
          <w:rFonts w:hint="eastAsia" w:ascii="仿宋_GB2312" w:hAnsi="仿宋_GB2312" w:eastAsia="仿宋_GB2312" w:cs="仿宋_GB2312"/>
          <w:b/>
          <w:snapToGrid w:val="0"/>
          <w:color w:val="000000"/>
          <w:sz w:val="32"/>
          <w:szCs w:val="32"/>
          <w:highlight w:val="none"/>
          <w:lang w:val="en-US" w:eastAsia="zh-CN"/>
        </w:rPr>
        <w:t>定</w:t>
      </w:r>
      <w:r>
        <w:rPr>
          <w:rFonts w:hint="eastAsia" w:ascii="仿宋_GB2312" w:hAnsi="仿宋_GB2312" w:eastAsia="仿宋_GB2312" w:cs="仿宋_GB2312"/>
          <w:b/>
          <w:snapToGrid w:val="0"/>
          <w:color w:val="000000"/>
          <w:sz w:val="32"/>
          <w:szCs w:val="32"/>
          <w:highlight w:val="none"/>
        </w:rPr>
        <w:t>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pacing w:val="2"/>
          <w:kern w:val="0"/>
          <w:position w:val="-1"/>
          <w:sz w:val="28"/>
          <w:szCs w:val="28"/>
          <w:highlight w:val="none"/>
          <w:lang w:val="zh-CN"/>
        </w:rPr>
        <w:br w:type="page"/>
      </w:r>
      <w:r>
        <w:rPr>
          <w:rFonts w:hint="eastAsia" w:ascii="仿宋_GB2312" w:hAnsi="仿宋_GB2312" w:eastAsia="仿宋_GB2312" w:cs="仿宋_GB2312"/>
          <w:b w:val="0"/>
          <w:snapToGrid w:val="0"/>
          <w:color w:val="000000"/>
          <w:sz w:val="28"/>
          <w:szCs w:val="28"/>
          <w:highlight w:val="none"/>
        </w:rPr>
        <w:t>附件</w:t>
      </w:r>
      <w:r>
        <w:rPr>
          <w:rFonts w:hint="eastAsia" w:ascii="仿宋_GB2312" w:hAnsi="仿宋_GB2312" w:eastAsia="仿宋_GB2312" w:cs="仿宋_GB2312"/>
          <w:b w:val="0"/>
          <w:snapToGrid w:val="0"/>
          <w:color w:val="000000"/>
          <w:sz w:val="28"/>
          <w:szCs w:val="28"/>
          <w:highlight w:val="none"/>
          <w:lang w:eastAsia="zh-CN"/>
        </w:rPr>
        <w:t>３</w:t>
      </w:r>
      <w:r>
        <w:rPr>
          <w:rFonts w:hint="eastAsia" w:ascii="仿宋_GB2312" w:hAnsi="仿宋_GB2312" w:eastAsia="仿宋_GB2312" w:cs="仿宋_GB2312"/>
          <w:b w:val="0"/>
          <w:snapToGrid w:val="0"/>
          <w:color w:val="000000"/>
          <w:sz w:val="28"/>
          <w:szCs w:val="28"/>
          <w:highlight w:val="none"/>
          <w:lang w:val="en-US" w:eastAsia="zh-CN"/>
        </w:rPr>
        <w:t>：</w:t>
      </w:r>
      <w:r>
        <w:rPr>
          <w:rFonts w:hint="eastAsia" w:ascii="仿宋_GB2312" w:hAnsi="仿宋_GB2312" w:eastAsia="仿宋_GB2312" w:cs="仿宋_GB2312"/>
          <w:b w:val="0"/>
          <w:bCs/>
          <w:snapToGrid w:val="0"/>
          <w:color w:val="000000"/>
          <w:kern w:val="2"/>
          <w:sz w:val="28"/>
          <w:szCs w:val="28"/>
          <w:highlight w:val="none"/>
          <w:lang w:val="en-US" w:eastAsia="zh-CN" w:bidi="ar-SA"/>
        </w:rPr>
        <w:t>投标价格一览表</w:t>
      </w:r>
      <w:r>
        <w:rPr>
          <w:rFonts w:hint="eastAsia" w:ascii="仿宋_GB2312" w:hAnsi="仿宋_GB2312" w:eastAsia="仿宋_GB2312" w:cs="仿宋_GB2312"/>
          <w:b/>
          <w:bCs w:val="0"/>
          <w:snapToGrid w:val="0"/>
          <w:color w:val="000000"/>
          <w:kern w:val="2"/>
          <w:sz w:val="28"/>
          <w:szCs w:val="28"/>
          <w:highlight w:val="none"/>
          <w:lang w:val="en-US" w:eastAsia="zh-CN" w:bidi="ar-SA"/>
        </w:rPr>
        <w:t>【单独密封】</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投标价格</w:t>
      </w:r>
      <w:r>
        <w:rPr>
          <w:rFonts w:hint="eastAsia" w:ascii="仿宋_GB2312" w:hAnsi="仿宋_GB2312" w:eastAsia="仿宋_GB2312" w:cs="仿宋_GB2312"/>
          <w:b w:val="0"/>
          <w:bCs/>
          <w:snapToGrid w:val="0"/>
          <w:color w:val="000000"/>
          <w:kern w:val="2"/>
          <w:sz w:val="28"/>
          <w:szCs w:val="28"/>
          <w:highlight w:val="none"/>
          <w:lang w:val="en-US" w:eastAsia="zh-CN" w:bidi="ar-SA"/>
        </w:rPr>
        <w:t>一览·表</w:t>
      </w:r>
      <w:r>
        <w:rPr>
          <w:rFonts w:hint="eastAsia" w:ascii="仿宋_GB2312" w:hAnsi="仿宋_GB2312" w:eastAsia="仿宋_GB2312" w:cs="仿宋_GB2312"/>
          <w:bCs/>
          <w:snapToGrid w:val="0"/>
          <w:sz w:val="28"/>
          <w:szCs w:val="28"/>
          <w:highlight w:val="none"/>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项目总报价</w:t>
      </w:r>
      <w:r>
        <w:rPr>
          <w:rFonts w:hint="eastAsia" w:ascii="仿宋_GB2312" w:hAnsi="仿宋_GB2312" w:eastAsia="仿宋_GB2312" w:cs="仿宋_GB2312"/>
          <w:bCs/>
          <w:snapToGrid w:val="0"/>
          <w:sz w:val="28"/>
          <w:szCs w:val="28"/>
          <w:highlight w:val="none"/>
          <w:lang w:eastAsia="zh-CN"/>
        </w:rPr>
        <w:t>（人民币）</w:t>
      </w:r>
      <w:r>
        <w:rPr>
          <w:rFonts w:hint="eastAsia" w:ascii="仿宋_GB2312" w:hAnsi="仿宋_GB2312" w:eastAsia="仿宋_GB2312" w:cs="仿宋_GB2312"/>
          <w:bCs/>
          <w:snapToGrid w:val="0"/>
          <w:sz w:val="28"/>
          <w:szCs w:val="28"/>
          <w:highlight w:val="none"/>
        </w:rPr>
        <w:t>：</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lang w:eastAsia="zh-CN"/>
        </w:rPr>
        <w:t>报价明细：</w:t>
      </w:r>
    </w:p>
    <w:tbl>
      <w:tblPr>
        <w:tblStyle w:val="32"/>
        <w:tblW w:w="8618" w:type="dxa"/>
        <w:jc w:val="center"/>
        <w:tblInd w:w="0"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数</w:t>
            </w:r>
            <w:r>
              <w:rPr>
                <w:rFonts w:hint="eastAsia" w:ascii="仿宋_GB2312" w:hAnsi="仿宋_GB2312" w:eastAsia="仿宋_GB2312" w:cs="仿宋_GB2312"/>
                <w:b/>
                <w:bCs/>
                <w:sz w:val="21"/>
                <w:szCs w:val="21"/>
                <w:highlight w:val="none"/>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iCs/>
                <w:sz w:val="21"/>
                <w:szCs w:val="21"/>
                <w:highlight w:val="none"/>
                <w:lang w:eastAsia="zh-CN"/>
              </w:rPr>
              <w:t>软件名称</w:t>
            </w:r>
            <w:r>
              <w:rPr>
                <w:rFonts w:hint="eastAsia" w:ascii="仿宋_GB2312" w:hAnsi="仿宋_GB2312" w:eastAsia="仿宋_GB2312" w:cs="仿宋_GB2312"/>
                <w:i/>
                <w:iCs/>
                <w:sz w:val="21"/>
                <w:szCs w:val="21"/>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iCs/>
                <w:sz w:val="21"/>
                <w:szCs w:val="21"/>
                <w:highlight w:val="none"/>
                <w:lang w:eastAsia="zh-CN"/>
              </w:rPr>
              <w:t>咨询</w:t>
            </w:r>
            <w:r>
              <w:rPr>
                <w:rFonts w:hint="eastAsia" w:ascii="仿宋_GB2312" w:hAnsi="仿宋_GB2312" w:eastAsia="仿宋_GB2312" w:cs="仿宋_GB2312"/>
                <w:i/>
                <w:iCs/>
                <w:sz w:val="21"/>
                <w:szCs w:val="21"/>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维护期内提供（□驻场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维护期满后，每年度系统维护服务费用不超过项目</w:t>
      </w:r>
      <w:r>
        <w:rPr>
          <w:rFonts w:hint="eastAsia" w:ascii="仿宋_GB2312" w:hAnsi="仿宋_GB2312" w:eastAsia="仿宋_GB2312" w:cs="仿宋_GB2312"/>
          <w:sz w:val="28"/>
          <w:szCs w:val="28"/>
          <w:highlight w:val="none"/>
          <w:lang w:val="en-US" w:eastAsia="zh-CN"/>
        </w:rPr>
        <w:t>软件费用</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%(如</w:t>
      </w:r>
      <w:r>
        <w:rPr>
          <w:rFonts w:hint="eastAsia" w:ascii="仿宋_GB2312" w:hAnsi="仿宋_GB2312" w:eastAsia="仿宋_GB2312" w:cs="仿宋_GB2312"/>
          <w:color w:val="auto"/>
          <w:sz w:val="28"/>
          <w:szCs w:val="28"/>
          <w:highlight w:val="none"/>
          <w:lang w:val="en-US" w:eastAsia="zh-CN"/>
        </w:rPr>
        <w:t>从</w:t>
      </w:r>
      <w:r>
        <w:rPr>
          <w:rFonts w:hint="eastAsia" w:ascii="仿宋_GB2312" w:hAnsi="仿宋_GB2312" w:eastAsia="仿宋_GB2312" w:cs="仿宋_GB2312"/>
          <w:color w:val="auto"/>
          <w:sz w:val="28"/>
          <w:szCs w:val="28"/>
          <w:highlight w:val="none"/>
        </w:rPr>
        <w:t>投标方采购了人月服务，可以不再单独采购维护服务，但需提供按季度的巡检工作及平台升级等服务)。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none"/>
          <w:u w:val="single"/>
          <w:lang w:eastAsia="zh-CN"/>
        </w:rPr>
        <w:t>五</w:t>
      </w:r>
      <w:r>
        <w:rPr>
          <w:rFonts w:hint="eastAsia" w:ascii="仿宋_GB2312" w:hAnsi="仿宋_GB2312" w:eastAsia="仿宋_GB2312" w:cs="仿宋_GB2312"/>
          <w:sz w:val="28"/>
          <w:szCs w:val="28"/>
          <w:highlight w:val="none"/>
        </w:rPr>
        <w:t>的违约金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
          <w:bCs/>
          <w:sz w:val="28"/>
          <w:szCs w:val="28"/>
          <w:highlight w:val="none"/>
          <w:u w:val="single"/>
        </w:rPr>
        <w:t>此页投标价格清单需独立密封包装（一份即可）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val="0"/>
          <w:snapToGrid w:val="0"/>
          <w:color w:val="000000"/>
          <w:sz w:val="28"/>
          <w:szCs w:val="28"/>
          <w:highlight w:val="none"/>
        </w:rPr>
        <w:t>附件4：投标人情况简介</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投标人情况简介</w:t>
      </w:r>
    </w:p>
    <w:p>
      <w:pPr>
        <w:pStyle w:val="20"/>
        <w:numPr>
          <w:ilvl w:val="0"/>
          <w:numId w:val="23"/>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投标人名称：</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传真／电话：</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成立日期或注册日期：</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highlight w:val="none"/>
        </w:rPr>
        <w:t>法定代表人或主要负责人姓名：</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人员情况：</w:t>
      </w:r>
      <w:r>
        <w:rPr>
          <w:rFonts w:hint="eastAsia" w:ascii="仿宋_GB2312" w:hAnsi="仿宋_GB2312" w:eastAsia="仿宋_GB2312" w:cs="仿宋_GB2312"/>
          <w:snapToGrid w:val="0"/>
          <w:color w:val="000000"/>
          <w:sz w:val="28"/>
          <w:szCs w:val="28"/>
          <w:highlight w:val="none"/>
        </w:rPr>
        <w:t xml:space="preserve">  </w:t>
      </w:r>
    </w:p>
    <w:tbl>
      <w:tblPr>
        <w:tblStyle w:val="32"/>
        <w:tblW w:w="8719" w:type="dxa"/>
        <w:tblInd w:w="0" w:type="dxa"/>
        <w:shd w:val="clear" w:color="auto" w:fill="auto"/>
        <w:tblLayout w:type="fixed"/>
        <w:tblCellMar>
          <w:top w:w="0" w:type="dxa"/>
          <w:left w:w="0" w:type="dxa"/>
          <w:bottom w:w="0" w:type="dxa"/>
          <w:right w:w="0" w:type="dxa"/>
        </w:tblCellMar>
      </w:tblPr>
      <w:tblGrid>
        <w:gridCol w:w="1716"/>
        <w:gridCol w:w="7003"/>
      </w:tblGrid>
      <w:tr>
        <w:tblPrEx>
          <w:shd w:val="clear" w:color="auto" w:fill="auto"/>
          <w:tblLayout w:type="fixed"/>
          <w:tblCellMar>
            <w:top w:w="0" w:type="dxa"/>
            <w:left w:w="0" w:type="dxa"/>
            <w:bottom w:w="0" w:type="dxa"/>
            <w:right w:w="0" w:type="dxa"/>
          </w:tblCellMar>
        </w:tblPrEx>
        <w:trPr>
          <w:trHeight w:val="1020"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总人数 </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人，研发人员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实施</w:t>
            </w:r>
            <w:r>
              <w:rPr>
                <w:rStyle w:val="125"/>
                <w:rFonts w:hint="eastAsia" w:ascii="仿宋_GB2312" w:hAnsi="仿宋_GB2312" w:eastAsia="仿宋_GB2312" w:cs="仿宋_GB2312"/>
                <w:color w:val="auto"/>
                <w:sz w:val="21"/>
                <w:szCs w:val="21"/>
                <w:highlight w:val="none"/>
                <w:lang w:val="en-US" w:eastAsia="zh-CN" w:bidi="ar"/>
              </w:rPr>
              <w:t>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测试人员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项目管理和质量管理人员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其他</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其中：持有专业类中高级证书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人，持有专业类初级证书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none"/>
                <w:lang w:val="en-US" w:eastAsia="zh-CN" w:bidi="ar"/>
              </w:rPr>
              <w:t>人</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 xml:space="preserve"> </w:t>
            </w:r>
            <w:r>
              <w:rPr>
                <w:rStyle w:val="127"/>
                <w:rFonts w:hint="eastAsia" w:ascii="仿宋_GB2312" w:hAnsi="仿宋_GB2312" w:eastAsia="仿宋_GB2312" w:cs="仿宋_GB2312"/>
                <w:color w:val="auto"/>
                <w:sz w:val="21"/>
                <w:szCs w:val="21"/>
                <w:highlight w:val="none"/>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其中：中高级职称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人，初级职称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w:t>
            </w:r>
            <w:r>
              <w:rPr>
                <w:rStyle w:val="128"/>
                <w:rFonts w:hint="eastAsia" w:ascii="仿宋_GB2312" w:hAnsi="仿宋_GB2312" w:eastAsia="仿宋_GB2312" w:cs="仿宋_GB2312"/>
                <w:color w:val="auto"/>
                <w:sz w:val="21"/>
                <w:szCs w:val="21"/>
                <w:highlight w:val="none"/>
                <w:lang w:val="en-US" w:eastAsia="zh-CN" w:bidi="ar"/>
              </w:rPr>
              <w:t>研究生及以上</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人,本科</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人，大专及以下</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9"/>
                <w:rFonts w:hint="eastAsia" w:ascii="仿宋_GB2312" w:hAnsi="仿宋_GB2312" w:eastAsia="仿宋_GB2312" w:cs="仿宋_GB2312"/>
                <w:color w:val="auto"/>
                <w:sz w:val="21"/>
                <w:szCs w:val="21"/>
                <w:highlight w:val="none"/>
                <w:u w:val="none"/>
                <w:lang w:val="en-US" w:eastAsia="zh-CN" w:bidi="ar"/>
              </w:rPr>
              <w:t>人</w:t>
            </w:r>
            <w:r>
              <w:rPr>
                <w:rStyle w:val="129"/>
                <w:rFonts w:hint="eastAsia" w:ascii="仿宋_GB2312" w:hAnsi="仿宋_GB2312" w:eastAsia="仿宋_GB2312" w:cs="仿宋_GB2312"/>
                <w:color w:val="auto"/>
                <w:sz w:val="21"/>
                <w:szCs w:val="21"/>
                <w:highlight w:val="none"/>
                <w:lang w:val="en-US" w:eastAsia="zh-CN" w:bidi="ar"/>
              </w:rPr>
              <w:t xml:space="preserve">   </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right="0" w:right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三、</w:t>
      </w:r>
      <w:r>
        <w:rPr>
          <w:rFonts w:hint="eastAsia" w:ascii="仿宋_GB2312" w:hAnsi="仿宋_GB2312" w:eastAsia="仿宋_GB2312" w:cs="仿宋_GB2312"/>
          <w:snapToGrid w:val="0"/>
          <w:color w:val="000000"/>
          <w:sz w:val="28"/>
          <w:szCs w:val="28"/>
          <w:highlight w:val="none"/>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none"/>
        </w:rPr>
      </w:pPr>
      <w:r>
        <w:rPr>
          <w:rFonts w:hint="eastAsia" w:ascii="仿宋_GB2312" w:hAnsi="仿宋_GB2312" w:eastAsia="仿宋_GB2312" w:cs="仿宋_GB2312"/>
          <w:snapToGrid w:val="0"/>
          <w:color w:val="000000"/>
          <w:sz w:val="28"/>
          <w:szCs w:val="28"/>
          <w:highlight w:val="none"/>
          <w:u w:val="none"/>
        </w:rPr>
        <w:t>经营状况及业绩（近三年资产总额、负债总额、年产值、年销售收入、年利润））</w:t>
      </w:r>
    </w:p>
    <w:tbl>
      <w:tblPr>
        <w:tblStyle w:val="32"/>
        <w:tblW w:w="8922" w:type="dxa"/>
        <w:tblInd w:w="0" w:type="dxa"/>
        <w:tblLayout w:type="fixed"/>
        <w:tblCellMar>
          <w:top w:w="0" w:type="dxa"/>
          <w:left w:w="108" w:type="dxa"/>
          <w:bottom w:w="0" w:type="dxa"/>
          <w:right w:w="108" w:type="dxa"/>
        </w:tblCellMar>
      </w:tblPr>
      <w:tblGrid>
        <w:gridCol w:w="2984"/>
        <w:gridCol w:w="2431"/>
        <w:gridCol w:w="1713"/>
        <w:gridCol w:w="1794"/>
      </w:tblGrid>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项 目\年 份</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注册资本（万元）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 产 值（万元）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年销售收入（万元）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285" w:hRule="atLeast"/>
        </w:trPr>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净 利 润（万元）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资产总额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负债总额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净资产增长率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销售收入增长率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1.资产总额、负债总额应以具有资质的中介机构鉴证的企业会计报表期末数为准。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2.净资产增长率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（1）净资产增长率＝1/2（第二年末净资产÷第一年末净资产＋第三年末净资产÷第二年末净资产）-1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eastAsia="zh-CN"/>
        </w:rPr>
        <w:t>（2）净资产＝资产总额 － 负债总额</w:t>
      </w:r>
      <w:r>
        <w:rPr>
          <w:rFonts w:hint="eastAsia" w:ascii="仿宋_GB2312" w:hAnsi="仿宋_GB2312" w:eastAsia="仿宋_GB2312" w:cs="仿宋_GB2312"/>
          <w:snapToGrid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val="en-US" w:eastAsia="zh-CN"/>
        </w:rPr>
        <w:t>3.</w:t>
      </w:r>
      <w:r>
        <w:rPr>
          <w:rFonts w:hint="eastAsia" w:ascii="仿宋_GB2312" w:hAnsi="仿宋_GB2312" w:eastAsia="仿宋_GB2312" w:cs="仿宋_GB2312"/>
          <w:snapToGrid w:val="0"/>
          <w:color w:val="auto"/>
          <w:sz w:val="24"/>
          <w:szCs w:val="24"/>
          <w:highlight w:val="none"/>
          <w:lang w:eastAsia="zh-CN"/>
        </w:rPr>
        <w:t>销售收入增长率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销售收入增长率＝1/2（第二年销售收入÷第一年销售收入＋第三年销售收入÷第二年销售收入）-1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auto"/>
          <w:sz w:val="24"/>
          <w:szCs w:val="24"/>
          <w:highlight w:val="none"/>
          <w:lang w:eastAsia="zh-CN"/>
        </w:rPr>
        <w:t>企业净资产增长率或销售收入增长率为负的，按0分计算；第一年末净资产或销售收入为0的，按后两年计算；第二年末净资产或销售收入</w:t>
      </w:r>
      <w:r>
        <w:rPr>
          <w:rFonts w:hint="eastAsia" w:ascii="仿宋_GB2312" w:hAnsi="仿宋_GB2312" w:eastAsia="仿宋_GB2312" w:cs="仿宋_GB2312"/>
          <w:snapToGrid w:val="0"/>
          <w:sz w:val="24"/>
          <w:szCs w:val="24"/>
          <w:highlight w:val="none"/>
          <w:lang w:eastAsia="zh-CN"/>
        </w:rPr>
        <w:t xml:space="preserve">为0的，按0分计算。  </w:t>
      </w:r>
      <w:r>
        <w:rPr>
          <w:rFonts w:hint="eastAsia" w:ascii="仿宋_GB2312" w:hAnsi="仿宋_GB2312" w:eastAsia="仿宋_GB2312" w:cs="仿宋_GB2312"/>
          <w:snapToGrid w:val="0"/>
          <w:color w:val="000000"/>
          <w:sz w:val="28"/>
          <w:szCs w:val="28"/>
          <w:highlight w:val="none"/>
          <w:u w:val="single"/>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业绩或服务的情况：</w:t>
      </w: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eastAsia="zh-CN"/>
        </w:rPr>
        <w:t>成立</w:t>
      </w:r>
      <w:r>
        <w:rPr>
          <w:rFonts w:hint="eastAsia" w:ascii="仿宋_GB2312" w:hAnsi="仿宋_GB2312" w:eastAsia="仿宋_GB2312" w:cs="仿宋_GB2312"/>
          <w:snapToGrid w:val="0"/>
          <w:color w:val="000000"/>
          <w:sz w:val="28"/>
          <w:szCs w:val="28"/>
          <w:highlight w:val="none"/>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p>
    <w:p>
      <w:pPr>
        <w:pStyle w:val="20"/>
        <w:tabs>
          <w:tab w:val="left" w:pos="360"/>
        </w:tabs>
        <w:adjustRightInd w:val="0"/>
        <w:rPr>
          <w:rFonts w:hint="eastAsia" w:ascii="仿宋_GB2312" w:hAnsi="仿宋_GB2312" w:eastAsia="仿宋_GB2312" w:cs="仿宋_GB2312"/>
          <w:snapToGrid w:val="0"/>
          <w:color w:val="000000"/>
          <w:sz w:val="28"/>
          <w:szCs w:val="28"/>
          <w:highlight w:val="none"/>
        </w:rPr>
      </w:pP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val="en-US" w:eastAsia="zh-CN"/>
        </w:rPr>
        <w:t>五、</w:t>
      </w:r>
      <w:r>
        <w:rPr>
          <w:rFonts w:hint="eastAsia" w:ascii="仿宋_GB2312" w:hAnsi="仿宋_GB2312" w:eastAsia="仿宋_GB2312" w:cs="仿宋_GB2312"/>
          <w:snapToGrid w:val="0"/>
          <w:color w:val="000000"/>
          <w:sz w:val="28"/>
          <w:szCs w:val="28"/>
          <w:highlight w:val="none"/>
        </w:rPr>
        <w:t xml:space="preserve">所属集团（如有的话）：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kern w:val="2"/>
          <w:sz w:val="28"/>
          <w:szCs w:val="28"/>
          <w:highlight w:val="none"/>
          <w:lang w:val="en-US" w:eastAsia="zh-CN" w:bidi="ar-SA"/>
        </w:rPr>
      </w:pPr>
      <w:r>
        <w:rPr>
          <w:rFonts w:hint="eastAsia" w:ascii="仿宋_GB2312" w:hAnsi="仿宋_GB2312" w:eastAsia="仿宋_GB2312" w:cs="仿宋_GB2312"/>
          <w:snapToGrid w:val="0"/>
          <w:color w:val="000000"/>
          <w:sz w:val="28"/>
          <w:szCs w:val="28"/>
          <w:highlight w:val="none"/>
          <w:lang w:val="en-US" w:eastAsia="zh-CN"/>
        </w:rPr>
        <w:t>六、其它情况</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highlight w:val="none"/>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highlight w:val="none"/>
          <w:lang w:val="en-US" w:eastAsia="zh-CN" w:bidi="ar-SA"/>
        </w:rPr>
      </w:pPr>
    </w:p>
    <w:p>
      <w:pPr>
        <w:pStyle w:val="123"/>
        <w:adjustRightInd w:val="0"/>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kern w:val="2"/>
          <w:sz w:val="28"/>
          <w:szCs w:val="28"/>
          <w:highlight w:val="none"/>
          <w:lang w:val="en-US" w:eastAsia="zh-CN" w:bidi="ar-SA"/>
        </w:rPr>
        <w:br w:type="page"/>
      </w:r>
      <w:r>
        <w:rPr>
          <w:rFonts w:hint="eastAsia" w:ascii="仿宋_GB2312" w:hAnsi="仿宋_GB2312" w:eastAsia="仿宋_GB2312" w:cs="仿宋_GB2312"/>
          <w:snapToGrid w:val="0"/>
          <w:color w:val="000000"/>
          <w:sz w:val="28"/>
          <w:szCs w:val="28"/>
          <w:highlight w:val="none"/>
        </w:rPr>
        <w:t>附件5：外包服务供应商风险信息表</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外包服务供应商风险信息表</w:t>
      </w:r>
    </w:p>
    <w:tbl>
      <w:tblPr>
        <w:tblStyle w:val="32"/>
        <w:tblW w:w="833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服务供应商名称</w:t>
            </w:r>
          </w:p>
        </w:tc>
        <w:tc>
          <w:tcPr>
            <w:tcW w:w="5880" w:type="dxa"/>
            <w:vAlign w:val="center"/>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jc w:val="center"/>
        </w:trPr>
        <w:tc>
          <w:tcPr>
            <w:tcW w:w="8331" w:type="dxa"/>
            <w:gridSpan w:val="2"/>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1.服务供应商成立时间及其发展历程</w:t>
            </w:r>
          </w:p>
        </w:tc>
        <w:tc>
          <w:tcPr>
            <w:tcW w:w="5880" w:type="dxa"/>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2.服务供应商的主要股东</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jc w:val="center"/>
        </w:trPr>
        <w:tc>
          <w:tcPr>
            <w:tcW w:w="2451" w:type="dxa"/>
            <w:shd w:val="clear" w:color="auto" w:fill="auto"/>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3.服务供应商的主要经营范围</w:t>
            </w:r>
          </w:p>
        </w:tc>
        <w:tc>
          <w:tcPr>
            <w:tcW w:w="5880" w:type="dxa"/>
            <w:shd w:val="clear" w:color="auto" w:fill="FFFFFF"/>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7.列举同业提供类似性质和规模的服务经验</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8.列举在最近三年的经营活动中违法违纪等不良记录（如有）</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9.提供服务供应商业务连续性安排和应急预案</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10.提供企业相关资质（如有）</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11.提供核心产品或服务</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（1）自主产品或服务：</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（2）代理产品或服务：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jc w:val="center"/>
        </w:trPr>
        <w:tc>
          <w:tcPr>
            <w:tcW w:w="8331" w:type="dxa"/>
            <w:gridSpan w:val="2"/>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服务供应商（盖章）：                                </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p>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日期：</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                                      </w:t>
            </w:r>
          </w:p>
        </w:tc>
      </w:tr>
    </w:tbl>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附件6：业务需求与实施方案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预估实施周期：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3</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31</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snapToGrid w:val="0"/>
          <w:color w:val="000000"/>
          <w:sz w:val="28"/>
          <w:szCs w:val="28"/>
          <w:highlight w:val="none"/>
          <w:lang w:eastAsia="zh-CN"/>
        </w:rPr>
        <w:t>前完成</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项目需求</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1.提供外部威胁情报供我行使用，使用有效期为1年。</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2.威胁情报需支持API接口对接的方式调用。</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3.威胁情报内容包含IP基础信息、IP威胁情报信息、域名情报信息等。</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服务标准及验收要求</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1.提供外部威胁情报接口授权，授权查询的威胁情报包括但不限于IP基础信息、IP威胁情报信息、域名情报信息等。</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2.外部威胁情报接口使用授权期限1年。</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2、投标产品涉及相关研发过程应接入招标方DevOps平台。</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投标方应在产品上线后提供项目涉及的全部源码（含必须的代码注释及开发平台层的源码）、项</w:t>
      </w:r>
      <w:r>
        <w:rPr>
          <w:rFonts w:hint="eastAsia" w:ascii="仿宋_GB2312" w:hAnsi="仿宋_GB2312" w:eastAsia="仿宋_GB2312" w:cs="仿宋_GB2312"/>
          <w:sz w:val="28"/>
          <w:szCs w:val="28"/>
          <w:highlight w:val="none"/>
          <w:lang w:eastAsia="zh-CN"/>
        </w:rPr>
        <w:t>目文档（包括但不限于技术白皮书、需求文档、设计（数据库、接口）文档、部署手册、维护手册）等。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投标方</w:t>
      </w:r>
      <w:r>
        <w:rPr>
          <w:rFonts w:hint="eastAsia" w:ascii="仿宋_GB2312" w:hAnsi="仿宋_GB2312" w:eastAsia="仿宋_GB2312" w:cs="仿宋_GB2312"/>
          <w:sz w:val="28"/>
          <w:szCs w:val="28"/>
          <w:highlight w:val="none"/>
        </w:rPr>
        <w:t>提供产品</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服务中涉及</w:t>
      </w:r>
      <w:r>
        <w:rPr>
          <w:rFonts w:hint="eastAsia" w:ascii="仿宋_GB2312" w:hAnsi="仿宋_GB2312" w:eastAsia="仿宋_GB2312" w:cs="仿宋_GB2312"/>
          <w:sz w:val="28"/>
          <w:szCs w:val="28"/>
          <w:highlight w:val="none"/>
          <w:lang w:eastAsia="zh-CN"/>
        </w:rPr>
        <w:t>包括但不限于</w:t>
      </w:r>
      <w:r>
        <w:rPr>
          <w:rFonts w:hint="eastAsia" w:ascii="仿宋_GB2312" w:hAnsi="仿宋_GB2312" w:eastAsia="仿宋_GB2312" w:cs="仿宋_GB2312"/>
          <w:sz w:val="28"/>
          <w:szCs w:val="28"/>
          <w:highlight w:val="none"/>
        </w:rPr>
        <w:t>第三方软件</w:t>
      </w:r>
      <w:r>
        <w:rPr>
          <w:rFonts w:hint="eastAsia" w:ascii="仿宋_GB2312" w:hAnsi="仿宋_GB2312" w:eastAsia="仿宋_GB2312" w:cs="仿宋_GB2312"/>
          <w:sz w:val="28"/>
          <w:szCs w:val="28"/>
          <w:highlight w:val="none"/>
          <w:lang w:eastAsia="zh-CN"/>
        </w:rPr>
        <w:t>、第三方组件、插件、控件等，</w:t>
      </w:r>
      <w:r>
        <w:rPr>
          <w:rFonts w:hint="eastAsia" w:ascii="仿宋_GB2312" w:hAnsi="仿宋_GB2312" w:eastAsia="仿宋_GB2312" w:cs="仿宋_GB2312"/>
          <w:sz w:val="28"/>
          <w:szCs w:val="28"/>
          <w:highlight w:val="none"/>
          <w:lang w:val="en-US" w:eastAsia="zh-CN"/>
        </w:rPr>
        <w:t>应满足我行开源软件准入要求：</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开源协议选择</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选择较为宽松的许可证，即当开源软件被修改并再发行时，不要求公开源代码，常用协议为MIT、BSD、Apache。</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技术选型要求：开源软件技术选型应与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信息化建设方向一致，服务于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业务发展，方向包括：互联网、分布式、微服务、云计算、大数据、人工智能等</w:t>
      </w:r>
      <w:r>
        <w:rPr>
          <w:rFonts w:hint="eastAsia" w:ascii="仿宋_GB2312" w:hAnsi="仿宋_GB2312" w:eastAsia="仿宋_GB2312" w:cs="仿宋_GB2312"/>
          <w:sz w:val="28"/>
          <w:szCs w:val="28"/>
          <w:highlight w:val="none"/>
          <w:lang w:eastAsia="zh-CN"/>
        </w:rPr>
        <w:t>。</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成熟度要求：</w:t>
      </w:r>
      <w:r>
        <w:rPr>
          <w:rFonts w:hint="eastAsia" w:ascii="仿宋_GB2312" w:hAnsi="仿宋_GB2312" w:eastAsia="仿宋_GB2312" w:cs="仿宋_GB2312"/>
          <w:sz w:val="28"/>
          <w:szCs w:val="28"/>
          <w:highlight w:val="none"/>
          <w:lang w:eastAsia="zh-CN"/>
        </w:rPr>
        <w:t>开源软件</w:t>
      </w:r>
      <w:r>
        <w:rPr>
          <w:rFonts w:hint="eastAsia" w:ascii="仿宋_GB2312" w:hAnsi="仿宋_GB2312" w:eastAsia="仿宋_GB2312" w:cs="仿宋_GB2312"/>
          <w:sz w:val="28"/>
          <w:szCs w:val="28"/>
          <w:highlight w:val="none"/>
        </w:rPr>
        <w:t>应使用业界公认成熟的开源软件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软件版本号1.0 及以上，且国内企业有较多使用案例，社区文档、示例代码等支持完善、稳定性较好、版本迭代的兼容性好。</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活跃度要求：应优先考虑开源社区活跃度较高、软件维护者持续维护、缺陷修复响应较快、中文社区有较高的活跃度的开源软件。</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配套设施要求：所选择的开源软件应符合主流技术标准，有较为完善的配套的工具体系（如运维工具、监控、性能分析等）。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5、投标方应主动配合我行每季度的开源软件安全检查，</w:t>
      </w:r>
      <w:r>
        <w:rPr>
          <w:rFonts w:hint="eastAsia" w:ascii="仿宋_GB2312" w:hAnsi="仿宋_GB2312" w:eastAsia="仿宋_GB2312" w:cs="仿宋_GB2312"/>
          <w:sz w:val="28"/>
          <w:szCs w:val="28"/>
          <w:highlight w:val="none"/>
        </w:rPr>
        <w:t>第三方或开源组件出现安全漏洞时，</w:t>
      </w:r>
      <w:r>
        <w:rPr>
          <w:rFonts w:hint="eastAsia" w:ascii="仿宋_GB2312" w:hAnsi="仿宋_GB2312" w:eastAsia="仿宋_GB2312" w:cs="仿宋_GB2312"/>
          <w:sz w:val="28"/>
          <w:szCs w:val="28"/>
          <w:highlight w:val="none"/>
          <w:lang w:eastAsia="zh-CN"/>
        </w:rPr>
        <w:t>投标方应及时配合我行整改并</w:t>
      </w:r>
      <w:r>
        <w:rPr>
          <w:rFonts w:hint="eastAsia" w:ascii="仿宋_GB2312" w:hAnsi="仿宋_GB2312" w:eastAsia="仿宋_GB2312" w:cs="仿宋_GB2312"/>
          <w:sz w:val="28"/>
          <w:szCs w:val="28"/>
          <w:highlight w:val="none"/>
        </w:rPr>
        <w:t>提供必要技术支持。</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iCs w:val="0"/>
                <w:sz w:val="21"/>
                <w:szCs w:val="21"/>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系统架构规划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1.系统架构图（我行已建立ESB企业服务总线、数据总线、业务中台）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2.硬件拓补图（请从附表我行支持软硬件清单中选择所需硬件类型，超出范围的请标注）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项目进度和质量保障方案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项目风险评估与控制方案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培训和售后服务方案</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rPr>
          <w:rFonts w:hint="eastAsia" w:ascii="仿宋_GB2312" w:hAnsi="仿宋_GB2312" w:eastAsia="仿宋_GB2312" w:cs="仿宋_GB2312"/>
          <w:snapToGrid w:val="0"/>
          <w:color w:val="000000"/>
          <w:sz w:val="28"/>
          <w:szCs w:val="28"/>
          <w:highlight w:val="none"/>
          <w:lang w:val="en-US" w:eastAsia="zh-CN"/>
        </w:rPr>
      </w:pPr>
    </w:p>
    <w:p>
      <w:pPr>
        <w:rPr>
          <w:rFonts w:hint="eastAsia" w:ascii="仿宋_GB2312" w:hAnsi="仿宋_GB2312" w:eastAsia="仿宋_GB2312" w:cs="仿宋_GB2312"/>
          <w:snapToGrid w:val="0"/>
          <w:color w:val="000000"/>
          <w:sz w:val="28"/>
          <w:szCs w:val="28"/>
          <w:highlight w:val="none"/>
          <w:lang w:val="en-US" w:eastAsia="zh-CN"/>
        </w:rPr>
      </w:pPr>
    </w:p>
    <w:p>
      <w:pPr>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（1）我行支持软件清单（版本号详细询项目经理）</w:t>
      </w:r>
    </w:p>
    <w:tbl>
      <w:tblPr>
        <w:tblStyle w:val="32"/>
        <w:tblW w:w="7645" w:type="dxa"/>
        <w:jc w:val="center"/>
        <w:tblInd w:w="0" w:type="dxa"/>
        <w:shd w:val="clear" w:color="auto" w:fill="auto"/>
        <w:tblLayout w:type="fixed"/>
        <w:tblCellMar>
          <w:top w:w="0" w:type="dxa"/>
          <w:left w:w="0" w:type="dxa"/>
          <w:bottom w:w="0" w:type="dxa"/>
          <w:right w:w="0" w:type="dxa"/>
        </w:tblCellMar>
      </w:tblPr>
      <w:tblGrid>
        <w:gridCol w:w="2087"/>
        <w:gridCol w:w="2321"/>
        <w:gridCol w:w="3237"/>
      </w:tblGrid>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软件类型</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软件名称</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备注</w:t>
            </w:r>
          </w:p>
        </w:tc>
      </w:tr>
      <w:tr>
        <w:tblPrEx>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suse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如涉及db2建议使用suse。</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适用于裸机环境部署。</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Win Server</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原则上要求在linux环境运行，不建议安装windows server</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AIX</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麒麟</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开发平台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HELP</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推荐使用5.x版本，</w:t>
            </w: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中间件</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东方通</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宝兰德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tomcat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WebSphere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对象存储</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XSKY</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消息队列</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IBM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Kafka</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Rabbit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缓存数据库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Redis</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大数据平台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CDH</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OceanBase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Oracle模式/MySQL模式。</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MySQL</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Kingwow</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DB2</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（2）我行支持硬件清单</w:t>
      </w:r>
    </w:p>
    <w:tbl>
      <w:tblPr>
        <w:tblStyle w:val="33"/>
        <w:tblpPr w:leftFromText="180" w:rightFromText="180" w:vertAnchor="text" w:horzAnchor="page" w:tblpXSpec="center" w:tblpY="303"/>
        <w:tblOverlap w:val="never"/>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云主机</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云主机（ARM)</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鲲鹏920芯片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Docker容器</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1C/2G/无存储</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K8S编排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PC服务器</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Intel至强2代CPU/256G（8*32G）</w:t>
            </w:r>
            <w:r>
              <w:rPr>
                <w:rFonts w:hint="eastAsia" w:ascii="仿宋_GB2312" w:hAnsi="仿宋_GB2312" w:eastAsia="仿宋_GB2312" w:cs="仿宋_GB2312"/>
                <w:b w:val="0"/>
                <w:bCs w:val="0"/>
                <w:sz w:val="21"/>
                <w:szCs w:val="21"/>
                <w:highlight w:val="none"/>
                <w:vertAlign w:val="baseline"/>
                <w:lang w:val="zh-CN" w:eastAsia="zh-CN"/>
              </w:rPr>
              <w:t>/4*600G SAS/Raid (0、1、5)</w:t>
            </w:r>
            <w:r>
              <w:rPr>
                <w:rFonts w:hint="eastAsia" w:ascii="仿宋_GB2312" w:hAnsi="仿宋_GB2312" w:eastAsia="仿宋_GB2312" w:cs="仿宋_GB2312"/>
                <w:b w:val="0"/>
                <w:bCs w:val="0"/>
                <w:sz w:val="21"/>
                <w:szCs w:val="21"/>
                <w:highlight w:val="none"/>
                <w:vertAlign w:val="baseline"/>
                <w:lang w:val="en-US" w:eastAsia="zh-CN"/>
              </w:rPr>
              <w:t>/千兆电口网卡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rPr>
          <w:rFonts w:hint="eastAsia" w:ascii="仿宋_GB2312" w:hAnsi="仿宋_GB2312" w:eastAsia="仿宋_GB2312" w:cs="仿宋_GB2312"/>
          <w:b w:val="0"/>
          <w:bCs w:val="0"/>
          <w:snapToGrid w:val="0"/>
          <w:color w:val="000000"/>
          <w:kern w:val="2"/>
          <w:sz w:val="28"/>
          <w:szCs w:val="28"/>
          <w:highlight w:val="none"/>
          <w:lang w:val="en-US" w:eastAsia="zh-CN" w:bidi="ar-SA"/>
        </w:rPr>
      </w:pPr>
    </w:p>
    <w:p>
      <w:pPr>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附件7：产品功能表与需求匹配度</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bl>
    <w:p>
      <w:pPr>
        <w:rPr>
          <w:rFonts w:hint="eastAsia" w:ascii="仿宋_GB2312" w:hAnsi="仿宋_GB2312" w:eastAsia="仿宋_GB2312" w:cs="仿宋_GB2312"/>
          <w:sz w:val="21"/>
          <w:szCs w:val="21"/>
          <w:highlight w:val="none"/>
          <w:lang w:val="en-US" w:eastAsia="zh-CN"/>
        </w:rPr>
      </w:pPr>
    </w:p>
    <w:p>
      <w:pPr>
        <w:rPr>
          <w:rFonts w:hint="eastAsia" w:ascii="仿宋_GB2312" w:hAnsi="仿宋_GB2312" w:eastAsia="仿宋_GB2312" w:cs="仿宋_GB2312"/>
          <w:sz w:val="21"/>
          <w:szCs w:val="21"/>
          <w:highlight w:val="none"/>
          <w:lang w:val="en-US" w:eastAsia="zh-CN"/>
        </w:rPr>
      </w:pPr>
    </w:p>
    <w:p>
      <w:pPr>
        <w:pStyle w:val="3"/>
        <w:spacing w:after="0" w:line="240" w:lineRule="auto"/>
        <w:jc w:val="left"/>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附件8：项目实施人员一览表、人员简历及社保证明</w:t>
      </w: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项目实施人员一览表</w:t>
      </w:r>
    </w:p>
    <w:tbl>
      <w:tblPr>
        <w:tblStyle w:val="3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19"/>
        <w:gridCol w:w="711"/>
        <w:gridCol w:w="666"/>
        <w:gridCol w:w="1514"/>
        <w:gridCol w:w="1144"/>
        <w:gridCol w:w="118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角色</w:t>
            </w:r>
          </w:p>
        </w:tc>
        <w:tc>
          <w:tcPr>
            <w:tcW w:w="91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姓名</w:t>
            </w:r>
          </w:p>
        </w:tc>
        <w:tc>
          <w:tcPr>
            <w:tcW w:w="711"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公司职务</w:t>
            </w:r>
          </w:p>
        </w:tc>
        <w:tc>
          <w:tcPr>
            <w:tcW w:w="666"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工作年限</w:t>
            </w:r>
          </w:p>
        </w:tc>
        <w:tc>
          <w:tcPr>
            <w:tcW w:w="151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参与阶段/主要工作</w:t>
            </w:r>
          </w:p>
        </w:tc>
        <w:tc>
          <w:tcPr>
            <w:tcW w:w="114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进场时间</w:t>
            </w:r>
          </w:p>
        </w:tc>
        <w:tc>
          <w:tcPr>
            <w:tcW w:w="118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离场时间</w:t>
            </w:r>
          </w:p>
        </w:tc>
        <w:tc>
          <w:tcPr>
            <w:tcW w:w="1175"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eastAsia="zh-CN"/>
              </w:rPr>
              <w:t>持</w:t>
            </w:r>
            <w:r>
              <w:rPr>
                <w:rFonts w:hint="eastAsia" w:ascii="仿宋_GB2312" w:hAnsi="仿宋_GB2312" w:eastAsia="仿宋_GB2312" w:cs="仿宋_GB2312"/>
                <w:b/>
                <w:sz w:val="21"/>
                <w:szCs w:val="21"/>
                <w:highlight w:val="none"/>
                <w:lang w:val="en-US" w:eastAsia="zh-CN"/>
              </w:rPr>
              <w:t>有专业类证书及证书等级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项目经理</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需求分析</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系统设计</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软件工程师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测试工程师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bl>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项目成</w:t>
      </w:r>
      <w:r>
        <w:rPr>
          <w:rFonts w:hint="eastAsia" w:ascii="仿宋_GB2312" w:hAnsi="仿宋_GB2312" w:eastAsia="仿宋_GB2312" w:cs="仿宋_GB2312"/>
          <w:b/>
          <w:sz w:val="32"/>
          <w:szCs w:val="32"/>
          <w:highlight w:val="none"/>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工作经历(</w:t>
            </w:r>
            <w:r>
              <w:rPr>
                <w:rFonts w:hint="eastAsia" w:ascii="仿宋_GB2312" w:hAnsi="仿宋_GB2312" w:eastAsia="仿宋_GB2312" w:cs="仿宋_GB2312"/>
                <w:sz w:val="21"/>
                <w:szCs w:val="21"/>
                <w:highlight w:val="none"/>
                <w:lang w:eastAsia="zh-CN"/>
              </w:rPr>
              <w:t>所有</w:t>
            </w:r>
            <w:r>
              <w:rPr>
                <w:rFonts w:hint="eastAsia" w:ascii="仿宋_GB2312" w:hAnsi="仿宋_GB2312" w:eastAsia="仿宋_GB2312" w:cs="仿宋_GB2312"/>
                <w:sz w:val="21"/>
                <w:szCs w:val="21"/>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范例：</w:t>
            </w:r>
          </w:p>
          <w:p>
            <w:pPr>
              <w:numPr>
                <w:ilvl w:val="0"/>
                <w:numId w:val="27"/>
              </w:numPr>
              <w:snapToGrid w:val="0"/>
              <w:spacing w:line="312" w:lineRule="auto"/>
              <w:ind w:left="357" w:hanging="357"/>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2008.7</w:t>
            </w:r>
            <w:r>
              <w:rPr>
                <w:rFonts w:hint="eastAsia" w:ascii="仿宋_GB2312" w:hAnsi="仿宋_GB2312" w:eastAsia="仿宋_GB2312" w:cs="仿宋_GB2312"/>
                <w:i w:val="0"/>
                <w:iCs w:val="0"/>
                <w:sz w:val="21"/>
                <w:szCs w:val="21"/>
                <w:highlight w:val="none"/>
                <w:lang w:eastAsia="zh-CN"/>
              </w:rPr>
              <w:t>至</w:t>
            </w:r>
            <w:r>
              <w:rPr>
                <w:rFonts w:hint="eastAsia" w:ascii="仿宋_GB2312" w:hAnsi="仿宋_GB2312" w:eastAsia="仿宋_GB2312" w:cs="仿宋_GB2312"/>
                <w:i w:val="0"/>
                <w:iCs w:val="0"/>
                <w:sz w:val="21"/>
                <w:szCs w:val="21"/>
                <w:highlight w:val="none"/>
              </w:rPr>
              <w:t xml:space="preserve">今, </w:t>
            </w:r>
            <w:r>
              <w:rPr>
                <w:rFonts w:hint="eastAsia" w:ascii="仿宋_GB2312" w:hAnsi="仿宋_GB2312" w:eastAsia="仿宋_GB2312" w:cs="仿宋_GB2312"/>
                <w:i w:val="0"/>
                <w:iCs w:val="0"/>
                <w:sz w:val="21"/>
                <w:szCs w:val="21"/>
                <w:highlight w:val="none"/>
                <w:lang w:eastAsia="zh-CN"/>
              </w:rPr>
              <w:t>XXXXX</w:t>
            </w:r>
            <w:r>
              <w:rPr>
                <w:rFonts w:hint="eastAsia" w:ascii="仿宋_GB2312" w:hAnsi="仿宋_GB2312" w:eastAsia="仿宋_GB2312" w:cs="仿宋_GB2312"/>
                <w:i w:val="0"/>
                <w:iCs w:val="0"/>
                <w:sz w:val="21"/>
                <w:szCs w:val="21"/>
                <w:highlight w:val="none"/>
              </w:rPr>
              <w:t>公司，</w:t>
            </w:r>
            <w:r>
              <w:rPr>
                <w:rFonts w:hint="eastAsia" w:ascii="仿宋_GB2312" w:hAnsi="仿宋_GB2312" w:eastAsia="仿宋_GB2312" w:cs="仿宋_GB2312"/>
                <w:i w:val="0"/>
                <w:iCs w:val="0"/>
                <w:sz w:val="21"/>
                <w:szCs w:val="21"/>
                <w:highlight w:val="none"/>
                <w:lang w:eastAsia="zh-CN"/>
              </w:rPr>
              <w:t>XXX</w:t>
            </w:r>
            <w:r>
              <w:rPr>
                <w:rFonts w:hint="eastAsia" w:ascii="仿宋_GB2312" w:hAnsi="仿宋_GB2312" w:eastAsia="仿宋_GB2312" w:cs="仿宋_GB2312"/>
                <w:i w:val="0"/>
                <w:iCs w:val="0"/>
                <w:sz w:val="21"/>
                <w:szCs w:val="21"/>
                <w:highlight w:val="none"/>
              </w:rPr>
              <w:t>职务/岗位 (时间倒序)</w:t>
            </w:r>
          </w:p>
          <w:p>
            <w:pPr>
              <w:numPr>
                <w:ilvl w:val="0"/>
                <w:numId w:val="27"/>
              </w:numPr>
              <w:snapToGrid w:val="0"/>
              <w:spacing w:line="312" w:lineRule="auto"/>
              <w:ind w:left="357" w:hanging="357"/>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XXX</w:t>
            </w:r>
            <w:r>
              <w:rPr>
                <w:rFonts w:hint="eastAsia" w:ascii="仿宋_GB2312" w:hAnsi="仿宋_GB2312" w:eastAsia="仿宋_GB2312" w:cs="仿宋_GB2312"/>
                <w:sz w:val="21"/>
                <w:szCs w:val="21"/>
                <w:highlight w:val="none"/>
              </w:rPr>
              <w:t>客户</w:t>
            </w:r>
            <w:r>
              <w:rPr>
                <w:rFonts w:hint="eastAsia" w:ascii="仿宋_GB2312" w:hAnsi="仿宋_GB2312" w:eastAsia="仿宋_GB2312" w:cs="仿宋_GB2312"/>
                <w:sz w:val="21"/>
                <w:szCs w:val="21"/>
                <w:highlight w:val="none"/>
                <w:lang w:eastAsia="zh-CN"/>
              </w:rPr>
              <w:t>XXXX</w:t>
            </w:r>
            <w:r>
              <w:rPr>
                <w:rFonts w:hint="eastAsia" w:ascii="仿宋_GB2312" w:hAnsi="仿宋_GB2312" w:eastAsia="仿宋_GB2312" w:cs="仿宋_GB2312"/>
                <w:sz w:val="21"/>
                <w:szCs w:val="21"/>
                <w:highlight w:val="none"/>
              </w:rPr>
              <w:t>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bl>
    <w:p>
      <w:pPr>
        <w:tabs>
          <w:tab w:val="left" w:pos="3960"/>
        </w:tabs>
        <w:rPr>
          <w:rFonts w:hint="eastAsia" w:ascii="仿宋_GB2312" w:hAnsi="仿宋_GB2312" w:eastAsia="仿宋_GB2312" w:cs="仿宋_GB2312"/>
          <w:sz w:val="21"/>
          <w:szCs w:val="21"/>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eastAsia="zh-CN"/>
        </w:rPr>
        <w:t>附件</w:t>
      </w:r>
      <w:r>
        <w:rPr>
          <w:rFonts w:hint="eastAsia" w:ascii="仿宋_GB2312" w:hAnsi="仿宋_GB2312" w:eastAsia="仿宋_GB2312" w:cs="仿宋_GB2312"/>
          <w:b w:val="0"/>
          <w:sz w:val="28"/>
          <w:szCs w:val="28"/>
          <w:highlight w:val="none"/>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lang w:eastAsia="zh-CN"/>
              </w:rPr>
            </w:pPr>
            <w:r>
              <w:rPr>
                <w:rFonts w:hint="eastAsia" w:ascii="仿宋_GB2312" w:hAnsi="仿宋_GB2312" w:eastAsia="仿宋_GB2312" w:cs="仿宋_GB2312"/>
                <w:i w:val="0"/>
                <w:color w:val="000000"/>
                <w:sz w:val="21"/>
                <w:szCs w:val="21"/>
                <w:highlight w:val="none"/>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日    期：</w:t>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附件10：投标人资格证明与案例情况（近三年，需附证明文件）</w:t>
      </w:r>
    </w:p>
    <w:p>
      <w:pPr>
        <w:numPr>
          <w:ilvl w:val="0"/>
          <w:numId w:val="28"/>
        </w:num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投标人资格证明文件（法人身份证和加盖公章的营业执照、资格证书等相关文件复印件）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二、案例情况说明及证明材料</w:t>
      </w:r>
      <w:r>
        <w:rPr>
          <w:rFonts w:hint="eastAsia" w:ascii="仿宋_GB2312" w:hAnsi="仿宋_GB2312" w:eastAsia="仿宋_GB2312" w:cs="仿宋_GB2312"/>
          <w:sz w:val="28"/>
          <w:szCs w:val="28"/>
          <w:highlight w:val="none"/>
        </w:rPr>
        <w:t>（以加盖公章的合同复印件为准）</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tabs>
          <w:tab w:val="left" w:pos="3960"/>
        </w:tabs>
        <w:rPr>
          <w:rFonts w:hint="eastAsia" w:ascii="仿宋_GB2312" w:hAnsi="仿宋_GB2312" w:eastAsia="仿宋_GB2312" w:cs="仿宋_GB2312"/>
          <w:sz w:val="28"/>
          <w:szCs w:val="28"/>
          <w:highlight w:val="none"/>
        </w:rPr>
      </w:pP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附件11:投标人信用信息查询说明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（此处填写信用信息查询渠道及截止时间、信用信息查询记录和证据留存的具体方式、信用信息的使用规则等，注意文档整体格式）</w:t>
      </w:r>
    </w:p>
    <w:p>
      <w:pP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br w:type="page"/>
      </w:r>
    </w:p>
    <w:p>
      <w:pPr>
        <w:pStyle w:val="3"/>
        <w:spacing w:after="0" w:line="240" w:lineRule="auto"/>
        <w:jc w:val="left"/>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附件12：其他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（此处为</w:t>
      </w:r>
      <w:r>
        <w:rPr>
          <w:rFonts w:hint="eastAsia" w:ascii="仿宋_GB2312" w:hAnsi="仿宋_GB2312" w:eastAsia="仿宋_GB2312" w:cs="仿宋_GB2312"/>
          <w:snapToGrid w:val="0"/>
          <w:sz w:val="24"/>
          <w:szCs w:val="24"/>
          <w:highlight w:val="none"/>
          <w:lang w:val="en-US" w:eastAsia="zh-CN"/>
        </w:rPr>
        <w:t>投标人自愿提供的其他全部文件</w:t>
      </w:r>
      <w:r>
        <w:rPr>
          <w:rFonts w:hint="eastAsia" w:ascii="仿宋_GB2312" w:hAnsi="仿宋_GB2312" w:eastAsia="仿宋_GB2312" w:cs="仿宋_GB2312"/>
          <w:b w:val="0"/>
          <w:bCs w:val="0"/>
          <w:i/>
          <w:iCs/>
          <w:sz w:val="24"/>
          <w:szCs w:val="24"/>
          <w:highlight w:val="none"/>
          <w:lang w:val="en-US" w:eastAsia="zh-CN"/>
        </w:rPr>
        <w:t>，注意文档整体格式）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8"/>
          <w:szCs w:val="28"/>
          <w:highlight w:val="none"/>
          <w:lang w:val="en-US" w:eastAsia="zh-CN"/>
        </w:rPr>
      </w:pPr>
    </w:p>
    <w:p>
      <w:pPr>
        <w:rPr>
          <w:rFonts w:hint="eastAsia" w:ascii="仿宋_GB2312" w:hAnsi="仿宋_GB2312" w:eastAsia="仿宋_GB2312" w:cs="仿宋_GB2312"/>
          <w:b w:val="0"/>
          <w:i w:val="0"/>
          <w:caps w:val="0"/>
          <w:color w:val="000000"/>
          <w:spacing w:val="0"/>
          <w:sz w:val="28"/>
          <w:szCs w:val="28"/>
          <w:highlight w:val="none"/>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 xml:space="preserve">常熟农商银行招标文件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461C8"/>
    <w:multiLevelType w:val="singleLevel"/>
    <w:tmpl w:val="882461C8"/>
    <w:lvl w:ilvl="0" w:tentative="0">
      <w:start w:val="1"/>
      <w:numFmt w:val="chineseCounting"/>
      <w:suff w:val="nothing"/>
      <w:lvlText w:val="（%1）"/>
      <w:lvlJc w:val="left"/>
      <w:pPr>
        <w:ind w:left="0" w:firstLine="420"/>
      </w:pPr>
      <w:rPr>
        <w:rFonts w:hint="eastAsia"/>
      </w:rPr>
    </w:lvl>
  </w:abstractNum>
  <w:abstractNum w:abstractNumId="1">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2">
    <w:nsid w:val="F240796C"/>
    <w:multiLevelType w:val="singleLevel"/>
    <w:tmpl w:val="F240796C"/>
    <w:lvl w:ilvl="0" w:tentative="0">
      <w:start w:val="1"/>
      <w:numFmt w:val="chineseCounting"/>
      <w:suff w:val="nothing"/>
      <w:lvlText w:val="（%1）"/>
      <w:lvlJc w:val="left"/>
      <w:pPr>
        <w:ind w:left="0" w:firstLine="420"/>
      </w:pPr>
      <w:rPr>
        <w:rFonts w:hint="eastAsia"/>
      </w:rPr>
    </w:lvl>
  </w:abstractNum>
  <w:abstractNum w:abstractNumId="3">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4">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5">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A09D12"/>
    <w:multiLevelType w:val="singleLevel"/>
    <w:tmpl w:val="11A09D12"/>
    <w:lvl w:ilvl="0" w:tentative="0">
      <w:start w:val="1"/>
      <w:numFmt w:val="chineseCounting"/>
      <w:suff w:val="nothing"/>
      <w:lvlText w:val="（%1）"/>
      <w:lvlJc w:val="left"/>
      <w:pPr>
        <w:ind w:left="0" w:firstLine="420"/>
      </w:pPr>
      <w:rPr>
        <w:rFonts w:hint="eastAsia"/>
      </w:rPr>
    </w:lvl>
  </w:abstractNum>
  <w:abstractNum w:abstractNumId="7">
    <w:nsid w:val="4726BC7E"/>
    <w:multiLevelType w:val="singleLevel"/>
    <w:tmpl w:val="4726BC7E"/>
    <w:lvl w:ilvl="0" w:tentative="0">
      <w:start w:val="1"/>
      <w:numFmt w:val="decimal"/>
      <w:lvlText w:val="%1."/>
      <w:lvlJc w:val="left"/>
      <w:pPr>
        <w:tabs>
          <w:tab w:val="left" w:pos="312"/>
        </w:tabs>
      </w:pPr>
    </w:lvl>
  </w:abstractNum>
  <w:abstractNum w:abstractNumId="8">
    <w:nsid w:val="5279BCCF"/>
    <w:multiLevelType w:val="singleLevel"/>
    <w:tmpl w:val="5279BCCF"/>
    <w:lvl w:ilvl="0" w:tentative="0">
      <w:start w:val="1"/>
      <w:numFmt w:val="chineseCounting"/>
      <w:suff w:val="nothing"/>
      <w:lvlText w:val="%1、"/>
      <w:lvlJc w:val="left"/>
    </w:lvl>
  </w:abstractNum>
  <w:abstractNum w:abstractNumId="9">
    <w:nsid w:val="558EFAF7"/>
    <w:multiLevelType w:val="singleLevel"/>
    <w:tmpl w:val="558EFAF7"/>
    <w:lvl w:ilvl="0" w:tentative="0">
      <w:start w:val="1"/>
      <w:numFmt w:val="decimal"/>
      <w:lvlText w:val="%1."/>
      <w:lvlJc w:val="left"/>
      <w:pPr>
        <w:tabs>
          <w:tab w:val="left" w:pos="312"/>
        </w:tabs>
      </w:pPr>
    </w:lvl>
  </w:abstractNum>
  <w:abstractNum w:abstractNumId="10">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11">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2">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1">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2">
    <w:nsid w:val="5983032A"/>
    <w:multiLevelType w:val="singleLevel"/>
    <w:tmpl w:val="5983032A"/>
    <w:lvl w:ilvl="0" w:tentative="0">
      <w:start w:val="2"/>
      <w:numFmt w:val="chineseCounting"/>
      <w:suff w:val="nothing"/>
      <w:lvlText w:val="%1、"/>
      <w:lvlJc w:val="left"/>
    </w:lvl>
  </w:abstractNum>
  <w:abstractNum w:abstractNumId="23">
    <w:nsid w:val="5987D065"/>
    <w:multiLevelType w:val="singleLevel"/>
    <w:tmpl w:val="5987D065"/>
    <w:lvl w:ilvl="0" w:tentative="0">
      <w:start w:val="1"/>
      <w:numFmt w:val="chineseCounting"/>
      <w:suff w:val="nothing"/>
      <w:lvlText w:val="%1、"/>
      <w:lvlJc w:val="left"/>
    </w:lvl>
  </w:abstractNum>
  <w:abstractNum w:abstractNumId="24">
    <w:nsid w:val="5987D4BA"/>
    <w:multiLevelType w:val="singleLevel"/>
    <w:tmpl w:val="5987D4BA"/>
    <w:lvl w:ilvl="0" w:tentative="0">
      <w:start w:val="2"/>
      <w:numFmt w:val="chineseCounting"/>
      <w:suff w:val="nothing"/>
      <w:lvlText w:val="（%1）"/>
      <w:lvlJc w:val="left"/>
    </w:lvl>
  </w:abstractNum>
  <w:abstractNum w:abstractNumId="25">
    <w:nsid w:val="7237A2EE"/>
    <w:multiLevelType w:val="singleLevel"/>
    <w:tmpl w:val="7237A2EE"/>
    <w:lvl w:ilvl="0" w:tentative="0">
      <w:start w:val="1"/>
      <w:numFmt w:val="chineseCounting"/>
      <w:suff w:val="nothing"/>
      <w:lvlText w:val="（%1）"/>
      <w:lvlJc w:val="left"/>
      <w:pPr>
        <w:ind w:left="0" w:firstLine="420"/>
      </w:pPr>
      <w:rPr>
        <w:rFonts w:hint="eastAsia"/>
      </w:rPr>
    </w:lvl>
  </w:abstractNum>
  <w:abstractNum w:abstractNumId="26">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7">
    <w:nsid w:val="7AE5E9A7"/>
    <w:multiLevelType w:val="singleLevel"/>
    <w:tmpl w:val="7AE5E9A7"/>
    <w:lvl w:ilvl="0" w:tentative="0">
      <w:start w:val="1"/>
      <w:numFmt w:val="chineseCounting"/>
      <w:suff w:val="nothing"/>
      <w:lvlText w:val="（%1）"/>
      <w:lvlJc w:val="left"/>
      <w:pPr>
        <w:ind w:left="0" w:firstLine="420"/>
      </w:pPr>
      <w:rPr>
        <w:rFonts w:hint="eastAsia"/>
      </w:rPr>
    </w:lvl>
  </w:abstractNum>
  <w:num w:numId="1">
    <w:abstractNumId w:val="3"/>
  </w:num>
  <w:num w:numId="2">
    <w:abstractNumId w:val="10"/>
  </w:num>
  <w:num w:numId="3">
    <w:abstractNumId w:val="25"/>
  </w:num>
  <w:num w:numId="4">
    <w:abstractNumId w:val="11"/>
  </w:num>
  <w:num w:numId="5">
    <w:abstractNumId w:val="12"/>
  </w:num>
  <w:num w:numId="6">
    <w:abstractNumId w:val="13"/>
  </w:num>
  <w:num w:numId="7">
    <w:abstractNumId w:val="6"/>
  </w:num>
  <w:num w:numId="8">
    <w:abstractNumId w:val="14"/>
  </w:num>
  <w:num w:numId="9">
    <w:abstractNumId w:val="15"/>
  </w:num>
  <w:num w:numId="10">
    <w:abstractNumId w:val="0"/>
  </w:num>
  <w:num w:numId="11">
    <w:abstractNumId w:val="1"/>
  </w:num>
  <w:num w:numId="12">
    <w:abstractNumId w:val="27"/>
  </w:num>
  <w:num w:numId="13">
    <w:abstractNumId w:val="16"/>
  </w:num>
  <w:num w:numId="14">
    <w:abstractNumId w:val="17"/>
  </w:num>
  <w:num w:numId="15">
    <w:abstractNumId w:val="18"/>
  </w:num>
  <w:num w:numId="16">
    <w:abstractNumId w:val="19"/>
  </w:num>
  <w:num w:numId="17">
    <w:abstractNumId w:val="2"/>
  </w:num>
  <w:num w:numId="18">
    <w:abstractNumId w:val="4"/>
  </w:num>
  <w:num w:numId="19">
    <w:abstractNumId w:val="9"/>
  </w:num>
  <w:num w:numId="20">
    <w:abstractNumId w:val="7"/>
  </w:num>
  <w:num w:numId="21">
    <w:abstractNumId w:val="8"/>
  </w:num>
  <w:num w:numId="22">
    <w:abstractNumId w:val="26"/>
  </w:num>
  <w:num w:numId="23">
    <w:abstractNumId w:val="20"/>
  </w:num>
  <w:num w:numId="24">
    <w:abstractNumId w:val="21"/>
  </w:num>
  <w:num w:numId="25">
    <w:abstractNumId w:val="22"/>
  </w:num>
  <w:num w:numId="26">
    <w:abstractNumId w:val="24"/>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2BF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1A96492"/>
    <w:rsid w:val="02327B7E"/>
    <w:rsid w:val="023F763D"/>
    <w:rsid w:val="02426FC4"/>
    <w:rsid w:val="024C138E"/>
    <w:rsid w:val="026003F1"/>
    <w:rsid w:val="02777751"/>
    <w:rsid w:val="02A067C4"/>
    <w:rsid w:val="02BA29F8"/>
    <w:rsid w:val="03140E87"/>
    <w:rsid w:val="031D6BFC"/>
    <w:rsid w:val="034435B9"/>
    <w:rsid w:val="03926FEA"/>
    <w:rsid w:val="03B46439"/>
    <w:rsid w:val="0412370F"/>
    <w:rsid w:val="043F6208"/>
    <w:rsid w:val="04465A59"/>
    <w:rsid w:val="04694A39"/>
    <w:rsid w:val="04972F07"/>
    <w:rsid w:val="05874BD7"/>
    <w:rsid w:val="065A5568"/>
    <w:rsid w:val="068A58DD"/>
    <w:rsid w:val="06A2432A"/>
    <w:rsid w:val="06AC59D5"/>
    <w:rsid w:val="07025CAB"/>
    <w:rsid w:val="0756131A"/>
    <w:rsid w:val="0854497E"/>
    <w:rsid w:val="0889179A"/>
    <w:rsid w:val="08AB3900"/>
    <w:rsid w:val="08CC236C"/>
    <w:rsid w:val="08E829EE"/>
    <w:rsid w:val="09BA0631"/>
    <w:rsid w:val="09D2393C"/>
    <w:rsid w:val="0A5237FA"/>
    <w:rsid w:val="0AB43546"/>
    <w:rsid w:val="0ABD15C0"/>
    <w:rsid w:val="0AD164F5"/>
    <w:rsid w:val="0B334ECE"/>
    <w:rsid w:val="0B82438F"/>
    <w:rsid w:val="0B836253"/>
    <w:rsid w:val="0BBF23F5"/>
    <w:rsid w:val="0BC37C77"/>
    <w:rsid w:val="0BDC31DE"/>
    <w:rsid w:val="0C824CC4"/>
    <w:rsid w:val="0C904C0E"/>
    <w:rsid w:val="0D0514A7"/>
    <w:rsid w:val="0D0B218D"/>
    <w:rsid w:val="0D1F1BB5"/>
    <w:rsid w:val="0D5D0AE8"/>
    <w:rsid w:val="0D8F2D46"/>
    <w:rsid w:val="0DAE5379"/>
    <w:rsid w:val="0DB16C2B"/>
    <w:rsid w:val="0DCB3E31"/>
    <w:rsid w:val="0DD203DE"/>
    <w:rsid w:val="0E00519E"/>
    <w:rsid w:val="0E121931"/>
    <w:rsid w:val="0E2C07A0"/>
    <w:rsid w:val="0E702D3B"/>
    <w:rsid w:val="0F6F4C5E"/>
    <w:rsid w:val="0F8F770F"/>
    <w:rsid w:val="101F7A0E"/>
    <w:rsid w:val="10516EBC"/>
    <w:rsid w:val="10C776EF"/>
    <w:rsid w:val="10C8421C"/>
    <w:rsid w:val="10E92F76"/>
    <w:rsid w:val="11383706"/>
    <w:rsid w:val="11A179C1"/>
    <w:rsid w:val="11C503CC"/>
    <w:rsid w:val="12077F8E"/>
    <w:rsid w:val="12780A0F"/>
    <w:rsid w:val="12B9330F"/>
    <w:rsid w:val="12F258F9"/>
    <w:rsid w:val="131E3EC2"/>
    <w:rsid w:val="13B21DDF"/>
    <w:rsid w:val="13CF32F6"/>
    <w:rsid w:val="13DD30C3"/>
    <w:rsid w:val="14044EE5"/>
    <w:rsid w:val="14193B86"/>
    <w:rsid w:val="142C5E3A"/>
    <w:rsid w:val="149808E2"/>
    <w:rsid w:val="14A81FAA"/>
    <w:rsid w:val="14C71970"/>
    <w:rsid w:val="153C1171"/>
    <w:rsid w:val="15547E03"/>
    <w:rsid w:val="15840E3F"/>
    <w:rsid w:val="15BA039F"/>
    <w:rsid w:val="15D64E1E"/>
    <w:rsid w:val="15E66256"/>
    <w:rsid w:val="15F44A3F"/>
    <w:rsid w:val="15F461F3"/>
    <w:rsid w:val="16273CED"/>
    <w:rsid w:val="16975514"/>
    <w:rsid w:val="17F5625C"/>
    <w:rsid w:val="18123DBD"/>
    <w:rsid w:val="18352522"/>
    <w:rsid w:val="185663DA"/>
    <w:rsid w:val="18631D4E"/>
    <w:rsid w:val="18987982"/>
    <w:rsid w:val="189D20F0"/>
    <w:rsid w:val="18B8785A"/>
    <w:rsid w:val="191817D3"/>
    <w:rsid w:val="19474EE4"/>
    <w:rsid w:val="194D45C7"/>
    <w:rsid w:val="19961FDC"/>
    <w:rsid w:val="199D5D8B"/>
    <w:rsid w:val="19A24DFE"/>
    <w:rsid w:val="19B33F22"/>
    <w:rsid w:val="1A201B89"/>
    <w:rsid w:val="1A2C4A64"/>
    <w:rsid w:val="1A3C6675"/>
    <w:rsid w:val="1A435120"/>
    <w:rsid w:val="1A523FB8"/>
    <w:rsid w:val="1A6C779C"/>
    <w:rsid w:val="1A8F2C3D"/>
    <w:rsid w:val="1AC64000"/>
    <w:rsid w:val="1AE65EF1"/>
    <w:rsid w:val="1B414698"/>
    <w:rsid w:val="1B5213EA"/>
    <w:rsid w:val="1B853A94"/>
    <w:rsid w:val="1B986C08"/>
    <w:rsid w:val="1C1A366B"/>
    <w:rsid w:val="1C762E6E"/>
    <w:rsid w:val="1C765BB9"/>
    <w:rsid w:val="1CA154E8"/>
    <w:rsid w:val="1CA20C86"/>
    <w:rsid w:val="1CA45FE9"/>
    <w:rsid w:val="1D106803"/>
    <w:rsid w:val="1D403F99"/>
    <w:rsid w:val="1D6C0124"/>
    <w:rsid w:val="1DA3328B"/>
    <w:rsid w:val="1DE24E96"/>
    <w:rsid w:val="1E244478"/>
    <w:rsid w:val="1E6C1D9C"/>
    <w:rsid w:val="1FC00BA4"/>
    <w:rsid w:val="1FC25642"/>
    <w:rsid w:val="204A0E8E"/>
    <w:rsid w:val="207B4430"/>
    <w:rsid w:val="207E05FA"/>
    <w:rsid w:val="207F7502"/>
    <w:rsid w:val="208A1F28"/>
    <w:rsid w:val="20A0246C"/>
    <w:rsid w:val="20D27DF1"/>
    <w:rsid w:val="20E022E2"/>
    <w:rsid w:val="2159297C"/>
    <w:rsid w:val="21895C02"/>
    <w:rsid w:val="21940D6B"/>
    <w:rsid w:val="21A3377D"/>
    <w:rsid w:val="21FC165E"/>
    <w:rsid w:val="221626AE"/>
    <w:rsid w:val="221E3807"/>
    <w:rsid w:val="222B3CD6"/>
    <w:rsid w:val="224A6137"/>
    <w:rsid w:val="22701E93"/>
    <w:rsid w:val="22956EF9"/>
    <w:rsid w:val="23120D28"/>
    <w:rsid w:val="231C05A6"/>
    <w:rsid w:val="235C4E6B"/>
    <w:rsid w:val="23D03A35"/>
    <w:rsid w:val="24A90ADE"/>
    <w:rsid w:val="24B970CD"/>
    <w:rsid w:val="24DF4CB0"/>
    <w:rsid w:val="24EF1EC5"/>
    <w:rsid w:val="250A0639"/>
    <w:rsid w:val="25987B4A"/>
    <w:rsid w:val="25CF4249"/>
    <w:rsid w:val="25D128FA"/>
    <w:rsid w:val="260F3CF1"/>
    <w:rsid w:val="262B1DED"/>
    <w:rsid w:val="26567F1F"/>
    <w:rsid w:val="26774072"/>
    <w:rsid w:val="267D7EA1"/>
    <w:rsid w:val="27377058"/>
    <w:rsid w:val="27A24554"/>
    <w:rsid w:val="283934CC"/>
    <w:rsid w:val="28506176"/>
    <w:rsid w:val="28AA5FBC"/>
    <w:rsid w:val="291C7581"/>
    <w:rsid w:val="292D78B9"/>
    <w:rsid w:val="29655ACD"/>
    <w:rsid w:val="2A4B5C19"/>
    <w:rsid w:val="2AA11FC9"/>
    <w:rsid w:val="2AC82D98"/>
    <w:rsid w:val="2B0F368C"/>
    <w:rsid w:val="2BE521BC"/>
    <w:rsid w:val="2C930738"/>
    <w:rsid w:val="2CF57956"/>
    <w:rsid w:val="2CF80ADA"/>
    <w:rsid w:val="2D232E8B"/>
    <w:rsid w:val="2D4B2BCC"/>
    <w:rsid w:val="2DD67FBC"/>
    <w:rsid w:val="2DDE4DF1"/>
    <w:rsid w:val="2E390794"/>
    <w:rsid w:val="2E4F5B52"/>
    <w:rsid w:val="2E5423C9"/>
    <w:rsid w:val="2E8C44A4"/>
    <w:rsid w:val="2ED63DAE"/>
    <w:rsid w:val="2F920070"/>
    <w:rsid w:val="2FA85CD6"/>
    <w:rsid w:val="2FBB56EA"/>
    <w:rsid w:val="2FCC0C6E"/>
    <w:rsid w:val="3044738E"/>
    <w:rsid w:val="305717B6"/>
    <w:rsid w:val="31CF0A5D"/>
    <w:rsid w:val="32113DDD"/>
    <w:rsid w:val="32226E35"/>
    <w:rsid w:val="32544F91"/>
    <w:rsid w:val="32B51499"/>
    <w:rsid w:val="32C567EF"/>
    <w:rsid w:val="32D565D1"/>
    <w:rsid w:val="33D87D7E"/>
    <w:rsid w:val="3413415F"/>
    <w:rsid w:val="346D1CBC"/>
    <w:rsid w:val="34774473"/>
    <w:rsid w:val="34B37BB6"/>
    <w:rsid w:val="34E770F3"/>
    <w:rsid w:val="35755825"/>
    <w:rsid w:val="35AA3AE9"/>
    <w:rsid w:val="35D54B9D"/>
    <w:rsid w:val="36F0652C"/>
    <w:rsid w:val="373C6391"/>
    <w:rsid w:val="374977D6"/>
    <w:rsid w:val="3757480D"/>
    <w:rsid w:val="375E3FC2"/>
    <w:rsid w:val="3765637B"/>
    <w:rsid w:val="379D1FE1"/>
    <w:rsid w:val="37B47277"/>
    <w:rsid w:val="381C0BA9"/>
    <w:rsid w:val="3870013B"/>
    <w:rsid w:val="38B16AAF"/>
    <w:rsid w:val="38E17FBF"/>
    <w:rsid w:val="397B426B"/>
    <w:rsid w:val="39B508B0"/>
    <w:rsid w:val="39DE5349"/>
    <w:rsid w:val="39E90411"/>
    <w:rsid w:val="3A2115AC"/>
    <w:rsid w:val="3A7024CF"/>
    <w:rsid w:val="3A8C0BC9"/>
    <w:rsid w:val="3AC36277"/>
    <w:rsid w:val="3ADB73F7"/>
    <w:rsid w:val="3B1220D5"/>
    <w:rsid w:val="3B2C3D25"/>
    <w:rsid w:val="3B2C7A6D"/>
    <w:rsid w:val="3B2F1C21"/>
    <w:rsid w:val="3B4078F8"/>
    <w:rsid w:val="3B723F13"/>
    <w:rsid w:val="3BB039CA"/>
    <w:rsid w:val="3C077B24"/>
    <w:rsid w:val="3C115E11"/>
    <w:rsid w:val="3C95430B"/>
    <w:rsid w:val="3CE24E7B"/>
    <w:rsid w:val="3D0542A9"/>
    <w:rsid w:val="3DFA001C"/>
    <w:rsid w:val="3E2677C4"/>
    <w:rsid w:val="3EA95DD0"/>
    <w:rsid w:val="3EEB15D8"/>
    <w:rsid w:val="3F2C0ED7"/>
    <w:rsid w:val="3F42799A"/>
    <w:rsid w:val="3F9A5BE3"/>
    <w:rsid w:val="3FC20FCA"/>
    <w:rsid w:val="4011336D"/>
    <w:rsid w:val="40514271"/>
    <w:rsid w:val="4077181C"/>
    <w:rsid w:val="40837CC5"/>
    <w:rsid w:val="40F36ADA"/>
    <w:rsid w:val="411656A7"/>
    <w:rsid w:val="418A0B44"/>
    <w:rsid w:val="41A37CB9"/>
    <w:rsid w:val="42051E54"/>
    <w:rsid w:val="42731021"/>
    <w:rsid w:val="42980C9A"/>
    <w:rsid w:val="42A542C4"/>
    <w:rsid w:val="43285D3E"/>
    <w:rsid w:val="4338624A"/>
    <w:rsid w:val="438A492C"/>
    <w:rsid w:val="43B7463B"/>
    <w:rsid w:val="446B6756"/>
    <w:rsid w:val="448D0D5E"/>
    <w:rsid w:val="44C7432E"/>
    <w:rsid w:val="44E569B4"/>
    <w:rsid w:val="456B0153"/>
    <w:rsid w:val="458925D9"/>
    <w:rsid w:val="458B155C"/>
    <w:rsid w:val="45D74323"/>
    <w:rsid w:val="45E83AD0"/>
    <w:rsid w:val="469B269E"/>
    <w:rsid w:val="46F86864"/>
    <w:rsid w:val="47161412"/>
    <w:rsid w:val="477375C7"/>
    <w:rsid w:val="48570EBF"/>
    <w:rsid w:val="486253FD"/>
    <w:rsid w:val="48F117E3"/>
    <w:rsid w:val="49CA30BF"/>
    <w:rsid w:val="49CC555F"/>
    <w:rsid w:val="49D25F5D"/>
    <w:rsid w:val="4A4D77BA"/>
    <w:rsid w:val="4A7D5BA6"/>
    <w:rsid w:val="4AE21718"/>
    <w:rsid w:val="4AF24664"/>
    <w:rsid w:val="4B48076E"/>
    <w:rsid w:val="4B4E2792"/>
    <w:rsid w:val="4BC174DF"/>
    <w:rsid w:val="4BC733A0"/>
    <w:rsid w:val="4BFA7A10"/>
    <w:rsid w:val="4C3A6825"/>
    <w:rsid w:val="4C413BB0"/>
    <w:rsid w:val="4D391A3D"/>
    <w:rsid w:val="4D3A548A"/>
    <w:rsid w:val="4DD51292"/>
    <w:rsid w:val="4DF61CD3"/>
    <w:rsid w:val="4E8D29A3"/>
    <w:rsid w:val="4E933484"/>
    <w:rsid w:val="4E9553C8"/>
    <w:rsid w:val="4E9B37F3"/>
    <w:rsid w:val="4F431490"/>
    <w:rsid w:val="4F857078"/>
    <w:rsid w:val="4FB55C78"/>
    <w:rsid w:val="4FD533B9"/>
    <w:rsid w:val="4FDF5118"/>
    <w:rsid w:val="4FFB1DED"/>
    <w:rsid w:val="5011782C"/>
    <w:rsid w:val="50501259"/>
    <w:rsid w:val="506D1992"/>
    <w:rsid w:val="50847E00"/>
    <w:rsid w:val="509E0CCF"/>
    <w:rsid w:val="51464072"/>
    <w:rsid w:val="51634F7E"/>
    <w:rsid w:val="51A13730"/>
    <w:rsid w:val="51D63D97"/>
    <w:rsid w:val="520B41D4"/>
    <w:rsid w:val="520D4419"/>
    <w:rsid w:val="52386CE3"/>
    <w:rsid w:val="53EF7D85"/>
    <w:rsid w:val="53FA6863"/>
    <w:rsid w:val="541444A8"/>
    <w:rsid w:val="548D4A1C"/>
    <w:rsid w:val="54B97A88"/>
    <w:rsid w:val="54FE1F29"/>
    <w:rsid w:val="568D5DF7"/>
    <w:rsid w:val="56C32EC8"/>
    <w:rsid w:val="57435CB9"/>
    <w:rsid w:val="57952EED"/>
    <w:rsid w:val="581377A6"/>
    <w:rsid w:val="585F37C6"/>
    <w:rsid w:val="58CF50A8"/>
    <w:rsid w:val="59537374"/>
    <w:rsid w:val="59A35BD0"/>
    <w:rsid w:val="5A0F136A"/>
    <w:rsid w:val="5A5341FA"/>
    <w:rsid w:val="5AF769BB"/>
    <w:rsid w:val="5B3B60A4"/>
    <w:rsid w:val="5B46714E"/>
    <w:rsid w:val="5B4A0F39"/>
    <w:rsid w:val="5B5E5416"/>
    <w:rsid w:val="5B794029"/>
    <w:rsid w:val="5C006AA4"/>
    <w:rsid w:val="5C026E80"/>
    <w:rsid w:val="5C1902AF"/>
    <w:rsid w:val="5C1D485C"/>
    <w:rsid w:val="5C1F5633"/>
    <w:rsid w:val="5C404115"/>
    <w:rsid w:val="5C5D0EEE"/>
    <w:rsid w:val="5C8247F7"/>
    <w:rsid w:val="5CA07092"/>
    <w:rsid w:val="5DBA4654"/>
    <w:rsid w:val="5DF20031"/>
    <w:rsid w:val="5E7A120F"/>
    <w:rsid w:val="5E7C7C18"/>
    <w:rsid w:val="5EFA4622"/>
    <w:rsid w:val="5F2D2E24"/>
    <w:rsid w:val="60D470B0"/>
    <w:rsid w:val="60F2286C"/>
    <w:rsid w:val="61082B42"/>
    <w:rsid w:val="61133F18"/>
    <w:rsid w:val="612A7E43"/>
    <w:rsid w:val="61357C86"/>
    <w:rsid w:val="614A23AF"/>
    <w:rsid w:val="61590E72"/>
    <w:rsid w:val="615B0D1E"/>
    <w:rsid w:val="615B5C92"/>
    <w:rsid w:val="61771EE8"/>
    <w:rsid w:val="61822DDD"/>
    <w:rsid w:val="61C03AA5"/>
    <w:rsid w:val="61D41A13"/>
    <w:rsid w:val="61DC7A24"/>
    <w:rsid w:val="620D2536"/>
    <w:rsid w:val="62625A67"/>
    <w:rsid w:val="62626C23"/>
    <w:rsid w:val="628402D0"/>
    <w:rsid w:val="629370F8"/>
    <w:rsid w:val="62D56DCB"/>
    <w:rsid w:val="632E08B0"/>
    <w:rsid w:val="636D2BB9"/>
    <w:rsid w:val="63C24B0A"/>
    <w:rsid w:val="63DE5387"/>
    <w:rsid w:val="64014DC5"/>
    <w:rsid w:val="6410508E"/>
    <w:rsid w:val="641D0F13"/>
    <w:rsid w:val="643829A8"/>
    <w:rsid w:val="64572C5D"/>
    <w:rsid w:val="645A7169"/>
    <w:rsid w:val="646C6FE8"/>
    <w:rsid w:val="64A37505"/>
    <w:rsid w:val="64C03B57"/>
    <w:rsid w:val="64D01775"/>
    <w:rsid w:val="65761FCC"/>
    <w:rsid w:val="65906DEB"/>
    <w:rsid w:val="65C15915"/>
    <w:rsid w:val="65CB08AD"/>
    <w:rsid w:val="65F3029E"/>
    <w:rsid w:val="65F352C0"/>
    <w:rsid w:val="660D3DB9"/>
    <w:rsid w:val="661012CB"/>
    <w:rsid w:val="662D5606"/>
    <w:rsid w:val="662F65D4"/>
    <w:rsid w:val="6650355B"/>
    <w:rsid w:val="66A3741E"/>
    <w:rsid w:val="66B614FB"/>
    <w:rsid w:val="66C478CB"/>
    <w:rsid w:val="67F658B2"/>
    <w:rsid w:val="681E7AD8"/>
    <w:rsid w:val="683F10C6"/>
    <w:rsid w:val="685C0B24"/>
    <w:rsid w:val="68961AFB"/>
    <w:rsid w:val="68B610B9"/>
    <w:rsid w:val="6904590E"/>
    <w:rsid w:val="69090B24"/>
    <w:rsid w:val="697716E5"/>
    <w:rsid w:val="698C591D"/>
    <w:rsid w:val="69D6566C"/>
    <w:rsid w:val="69E3308E"/>
    <w:rsid w:val="6A0D0F70"/>
    <w:rsid w:val="6A1A03AA"/>
    <w:rsid w:val="6A394651"/>
    <w:rsid w:val="6A5945F9"/>
    <w:rsid w:val="6A7144BE"/>
    <w:rsid w:val="6AA66486"/>
    <w:rsid w:val="6AA94832"/>
    <w:rsid w:val="6B4E7C02"/>
    <w:rsid w:val="6B533323"/>
    <w:rsid w:val="6B7A7AE3"/>
    <w:rsid w:val="6C1B6D74"/>
    <w:rsid w:val="6C325E7E"/>
    <w:rsid w:val="6CDF59DF"/>
    <w:rsid w:val="6CEB13C9"/>
    <w:rsid w:val="6D530806"/>
    <w:rsid w:val="6D79747C"/>
    <w:rsid w:val="6DCF5B68"/>
    <w:rsid w:val="6E973570"/>
    <w:rsid w:val="6ED00995"/>
    <w:rsid w:val="6EFE488E"/>
    <w:rsid w:val="6F0D1FC0"/>
    <w:rsid w:val="6F767EFE"/>
    <w:rsid w:val="6FBA15E8"/>
    <w:rsid w:val="6FFB0052"/>
    <w:rsid w:val="700272C2"/>
    <w:rsid w:val="703C2F5B"/>
    <w:rsid w:val="704F3FE3"/>
    <w:rsid w:val="7056024D"/>
    <w:rsid w:val="70962A58"/>
    <w:rsid w:val="71160067"/>
    <w:rsid w:val="71382591"/>
    <w:rsid w:val="714A7EE2"/>
    <w:rsid w:val="717F544B"/>
    <w:rsid w:val="71C13224"/>
    <w:rsid w:val="71F91A05"/>
    <w:rsid w:val="72181D1E"/>
    <w:rsid w:val="72412981"/>
    <w:rsid w:val="7251629D"/>
    <w:rsid w:val="72516DE5"/>
    <w:rsid w:val="72A92105"/>
    <w:rsid w:val="72CA3510"/>
    <w:rsid w:val="73176CA4"/>
    <w:rsid w:val="734628D9"/>
    <w:rsid w:val="735D191F"/>
    <w:rsid w:val="736A23E7"/>
    <w:rsid w:val="73803BE2"/>
    <w:rsid w:val="740B1955"/>
    <w:rsid w:val="74545538"/>
    <w:rsid w:val="74833A17"/>
    <w:rsid w:val="74AE0429"/>
    <w:rsid w:val="74CC4F09"/>
    <w:rsid w:val="75087F41"/>
    <w:rsid w:val="75237E76"/>
    <w:rsid w:val="75414DBC"/>
    <w:rsid w:val="755C32F4"/>
    <w:rsid w:val="758F565B"/>
    <w:rsid w:val="76164B6D"/>
    <w:rsid w:val="76834386"/>
    <w:rsid w:val="76D02233"/>
    <w:rsid w:val="7731745B"/>
    <w:rsid w:val="78276128"/>
    <w:rsid w:val="78B570CB"/>
    <w:rsid w:val="79311880"/>
    <w:rsid w:val="79560A40"/>
    <w:rsid w:val="79CB6D6F"/>
    <w:rsid w:val="7A022E0D"/>
    <w:rsid w:val="7A1265E7"/>
    <w:rsid w:val="7A826731"/>
    <w:rsid w:val="7AF30168"/>
    <w:rsid w:val="7B0F2B3E"/>
    <w:rsid w:val="7B1633FD"/>
    <w:rsid w:val="7B5675BC"/>
    <w:rsid w:val="7B724861"/>
    <w:rsid w:val="7C0619D3"/>
    <w:rsid w:val="7C195293"/>
    <w:rsid w:val="7C35538A"/>
    <w:rsid w:val="7C7C41DC"/>
    <w:rsid w:val="7CCB2628"/>
    <w:rsid w:val="7D0E604F"/>
    <w:rsid w:val="7D3373CB"/>
    <w:rsid w:val="7D4204CE"/>
    <w:rsid w:val="7D4B6CF2"/>
    <w:rsid w:val="7DA61D19"/>
    <w:rsid w:val="7DB83F32"/>
    <w:rsid w:val="7DC86131"/>
    <w:rsid w:val="7DC90FFE"/>
    <w:rsid w:val="7DCD64E1"/>
    <w:rsid w:val="7DEA337D"/>
    <w:rsid w:val="7E6251B3"/>
    <w:rsid w:val="7E834979"/>
    <w:rsid w:val="7ED73662"/>
    <w:rsid w:val="7EDB6AD5"/>
    <w:rsid w:val="7F1A4A92"/>
    <w:rsid w:val="7F57674C"/>
    <w:rsid w:val="7F654BFE"/>
    <w:rsid w:val="7F7A49F2"/>
    <w:rsid w:val="7FA600A4"/>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basedOn w:val="34"/>
    <w:qFormat/>
    <w:uiPriority w:val="0"/>
    <w:rPr>
      <w:rFonts w:hint="default" w:ascii="Arial" w:hAnsi="Arial" w:cs="Arial"/>
      <w:color w:val="000000"/>
      <w:sz w:val="20"/>
      <w:szCs w:val="20"/>
      <w:u w:val="none"/>
    </w:rPr>
  </w:style>
  <w:style w:type="character" w:customStyle="1" w:styleId="122">
    <w:name w:val="font61"/>
    <w:basedOn w:val="34"/>
    <w:qFormat/>
    <w:uiPriority w:val="0"/>
    <w:rPr>
      <w:rFonts w:hint="eastAsia" w:ascii="宋体" w:hAnsi="宋体" w:eastAsia="宋体"/>
      <w:color w:val="000000"/>
      <w:sz w:val="20"/>
      <w:szCs w:val="20"/>
      <w:u w:val="none"/>
    </w:rPr>
  </w:style>
  <w:style w:type="paragraph" w:customStyle="1" w:styleId="123">
    <w:name w:val="纯文本1"/>
    <w:basedOn w:val="1"/>
    <w:qFormat/>
    <w:uiPriority w:val="0"/>
    <w:rPr>
      <w:rFonts w:ascii="宋体" w:hAnsi="Courier New"/>
    </w:rPr>
  </w:style>
  <w:style w:type="character" w:customStyle="1" w:styleId="124">
    <w:name w:val="font81"/>
    <w:basedOn w:val="34"/>
    <w:qFormat/>
    <w:uiPriority w:val="0"/>
    <w:rPr>
      <w:rFonts w:hint="eastAsia" w:ascii="宋体" w:hAnsi="宋体" w:eastAsia="宋体" w:cs="宋体"/>
      <w:color w:val="000000"/>
      <w:sz w:val="24"/>
      <w:szCs w:val="24"/>
      <w:u w:val="single"/>
    </w:rPr>
  </w:style>
  <w:style w:type="character" w:customStyle="1" w:styleId="125">
    <w:name w:val="font71"/>
    <w:basedOn w:val="34"/>
    <w:qFormat/>
    <w:uiPriority w:val="0"/>
    <w:rPr>
      <w:rFonts w:hint="eastAsia" w:ascii="宋体" w:hAnsi="宋体" w:eastAsia="宋体" w:cs="宋体"/>
      <w:color w:val="000000"/>
      <w:sz w:val="24"/>
      <w:szCs w:val="24"/>
      <w:u w:val="none"/>
    </w:rPr>
  </w:style>
  <w:style w:type="character" w:customStyle="1" w:styleId="126">
    <w:name w:val="font31"/>
    <w:basedOn w:val="34"/>
    <w:qFormat/>
    <w:uiPriority w:val="0"/>
    <w:rPr>
      <w:rFonts w:hint="eastAsia" w:ascii="宋体" w:hAnsi="宋体" w:eastAsia="宋体" w:cs="宋体"/>
      <w:color w:val="FF0000"/>
      <w:sz w:val="24"/>
      <w:szCs w:val="24"/>
      <w:u w:val="none"/>
    </w:rPr>
  </w:style>
  <w:style w:type="character" w:customStyle="1" w:styleId="127">
    <w:name w:val="font41"/>
    <w:basedOn w:val="34"/>
    <w:qFormat/>
    <w:uiPriority w:val="0"/>
    <w:rPr>
      <w:rFonts w:hint="eastAsia" w:ascii="宋体" w:hAnsi="宋体" w:eastAsia="宋体" w:cs="宋体"/>
      <w:color w:val="FF0000"/>
      <w:sz w:val="24"/>
      <w:szCs w:val="24"/>
      <w:u w:val="single"/>
    </w:rPr>
  </w:style>
  <w:style w:type="character" w:customStyle="1" w:styleId="128">
    <w:name w:val="font21"/>
    <w:basedOn w:val="34"/>
    <w:qFormat/>
    <w:uiPriority w:val="0"/>
    <w:rPr>
      <w:rFonts w:hint="eastAsia" w:ascii="宋体" w:hAnsi="宋体" w:eastAsia="宋体" w:cs="宋体"/>
      <w:color w:val="000000"/>
      <w:sz w:val="24"/>
      <w:szCs w:val="24"/>
      <w:u w:val="none"/>
    </w:rPr>
  </w:style>
  <w:style w:type="character" w:customStyle="1" w:styleId="129">
    <w:name w:val="font01"/>
    <w:basedOn w:val="34"/>
    <w:qFormat/>
    <w:uiPriority w:val="0"/>
    <w:rPr>
      <w:rFonts w:hint="eastAsia" w:ascii="宋体" w:hAnsi="宋体" w:eastAsia="宋体" w:cs="宋体"/>
      <w:color w:val="000000"/>
      <w:sz w:val="24"/>
      <w:szCs w:val="24"/>
      <w:u w:val="single"/>
    </w:rPr>
  </w:style>
  <w:style w:type="character" w:customStyle="1" w:styleId="130">
    <w:name w:val="font121"/>
    <w:basedOn w:val="34"/>
    <w:qFormat/>
    <w:uiPriority w:val="0"/>
    <w:rPr>
      <w:rFonts w:hint="eastAsia" w:ascii="宋体" w:hAnsi="宋体" w:eastAsia="宋体" w:cs="宋体"/>
      <w:b/>
      <w:color w:val="000000"/>
      <w:sz w:val="22"/>
      <w:szCs w:val="22"/>
      <w:u w:val="single"/>
    </w:rPr>
  </w:style>
  <w:style w:type="paragraph" w:customStyle="1" w:styleId="131">
    <w:name w:val="列表段落3"/>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16</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2024-01-23T06:28:19Z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1DE894640FE048D0A089C40EF30BC802</vt:lpwstr>
  </property>
</Properties>
</file>