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28"/>
          <w:szCs w:val="28"/>
          <w:lang w:val="en-US" w:eastAsia="zh-CN"/>
        </w:rPr>
      </w:pPr>
    </w:p>
    <w:p>
      <w:pPr>
        <w:jc w:val="center"/>
        <w:rPr>
          <w:rFonts w:hint="eastAsia" w:ascii="宋体"/>
          <w:b/>
          <w:bCs/>
          <w:sz w:val="28"/>
          <w:szCs w:val="28"/>
          <w:lang w:val="en-US" w:eastAsia="zh-CN"/>
        </w:rPr>
      </w:pPr>
    </w:p>
    <w:p>
      <w:pPr>
        <w:pStyle w:val="2"/>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《人行金融基础数据报送项目招标书</w:t>
      </w:r>
      <w:r>
        <w:rPr>
          <w:rFonts w:hint="eastAsia" w:ascii="仿宋" w:hAnsi="仿宋" w:eastAsia="仿宋" w:cs="仿宋"/>
          <w:b/>
          <w:bCs/>
          <w:kern w:val="2"/>
          <w:sz w:val="44"/>
          <w:szCs w:val="44"/>
          <w:lang w:val="en-US" w:eastAsia="zh-CN" w:bidi="ar-SA"/>
        </w:rPr>
        <w:t>补充说明</w:t>
      </w:r>
      <w:r>
        <w:rPr>
          <w:rFonts w:hint="eastAsia" w:ascii="仿宋" w:hAnsi="仿宋" w:eastAsia="仿宋" w:cs="仿宋"/>
          <w:b/>
          <w:bCs/>
          <w:sz w:val="44"/>
          <w:szCs w:val="44"/>
          <w:lang w:val="en-US" w:eastAsia="zh-CN"/>
        </w:rPr>
        <w:t>》</w:t>
      </w: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rPr>
          <w:rFonts w:hint="eastAsia" w:ascii="宋体"/>
          <w:b/>
          <w:bCs/>
          <w:sz w:val="28"/>
          <w:szCs w:val="28"/>
          <w:lang w:val="en-US" w:eastAsia="zh-CN"/>
        </w:rPr>
      </w:pPr>
    </w:p>
    <w:p>
      <w:pPr>
        <w:pStyle w:val="2"/>
        <w:jc w:val="both"/>
        <w:rPr>
          <w:rFonts w:hint="eastAsia" w:ascii="宋体"/>
          <w:b/>
          <w:bCs/>
          <w:sz w:val="28"/>
          <w:szCs w:val="28"/>
          <w:lang w:val="en-US" w:eastAsia="zh-CN"/>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 w:hAnsi="仿宋" w:eastAsia="仿宋" w:cs="仿宋"/>
          <w:b w:val="0"/>
          <w:bCs/>
          <w:snapToGrid w:val="0"/>
          <w:color w:val="000000"/>
          <w:sz w:val="32"/>
          <w:szCs w:val="32"/>
          <w:highlight w:val="yellow"/>
          <w:lang w:val="en-US" w:eastAsia="zh-CN"/>
        </w:rPr>
        <w:t>2021</w:t>
      </w:r>
      <w:r>
        <w:rPr>
          <w:rFonts w:hint="eastAsia" w:ascii="仿宋" w:hAnsi="仿宋" w:eastAsia="仿宋" w:cs="仿宋"/>
          <w:b w:val="0"/>
          <w:bCs/>
          <w:snapToGrid w:val="0"/>
          <w:color w:val="000000"/>
          <w:sz w:val="32"/>
          <w:szCs w:val="32"/>
          <w:highlight w:val="yellow"/>
          <w:lang w:eastAsia="zh-CN"/>
        </w:rPr>
        <w:t>年</w:t>
      </w:r>
      <w:r>
        <w:rPr>
          <w:rFonts w:hint="eastAsia" w:ascii="仿宋" w:hAnsi="仿宋" w:eastAsia="仿宋" w:cs="仿宋"/>
          <w:b w:val="0"/>
          <w:bCs/>
          <w:snapToGrid w:val="0"/>
          <w:color w:val="000000"/>
          <w:sz w:val="32"/>
          <w:szCs w:val="32"/>
          <w:highlight w:val="yellow"/>
          <w:lang w:val="en-US" w:eastAsia="zh-CN"/>
        </w:rPr>
        <w:t>04</w:t>
      </w:r>
      <w:r>
        <w:rPr>
          <w:rFonts w:hint="eastAsia" w:ascii="仿宋" w:hAnsi="仿宋" w:eastAsia="仿宋" w:cs="仿宋"/>
          <w:b w:val="0"/>
          <w:bCs/>
          <w:snapToGrid w:val="0"/>
          <w:color w:val="000000"/>
          <w:sz w:val="32"/>
          <w:szCs w:val="32"/>
          <w:highlight w:val="yellow"/>
        </w:rPr>
        <w:t>月</w:t>
      </w:r>
      <w:r>
        <w:rPr>
          <w:rFonts w:hint="eastAsia" w:ascii="仿宋" w:hAnsi="仿宋" w:eastAsia="仿宋" w:cs="仿宋"/>
          <w:b w:val="0"/>
          <w:bCs/>
          <w:snapToGrid w:val="0"/>
          <w:color w:val="000000"/>
          <w:sz w:val="32"/>
          <w:szCs w:val="32"/>
          <w:highlight w:val="yellow"/>
          <w:lang w:val="en-US" w:eastAsia="zh-CN"/>
        </w:rPr>
        <w:t>15</w:t>
      </w:r>
      <w:r>
        <w:rPr>
          <w:rFonts w:hint="eastAsia" w:ascii="仿宋" w:hAnsi="仿宋" w:eastAsia="仿宋" w:cs="仿宋"/>
          <w:b w:val="0"/>
          <w:bCs/>
          <w:snapToGrid w:val="0"/>
          <w:color w:val="000000"/>
          <w:sz w:val="32"/>
          <w:szCs w:val="32"/>
          <w:highlight w:val="yellow"/>
        </w:rPr>
        <w:t>日</w:t>
      </w:r>
    </w:p>
    <w:p>
      <w:pPr>
        <w:spacing w:beforeLines="0" w:afterLines="0" w:line="460" w:lineRule="exact"/>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jc w:val="both"/>
        <w:rPr>
          <w:rFonts w:hint="eastAsia" w:ascii="宋体" w:hAnsi="宋体" w:eastAsia="宋体" w:cs="宋体"/>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keepNext w:val="0"/>
        <w:keepLines w:val="0"/>
        <w:pageBreakBefore w:val="0"/>
        <w:widowControl w:val="0"/>
        <w:tabs>
          <w:tab w:val="left" w:pos="8280"/>
        </w:tabs>
        <w:kinsoku/>
        <w:wordWrap/>
        <w:overflowPunct/>
        <w:topLinePunct w:val="0"/>
        <w:autoSpaceDE/>
        <w:autoSpaceDN/>
        <w:bidi w:val="0"/>
        <w:adjustRightInd/>
        <w:snapToGrid/>
        <w:spacing w:line="480" w:lineRule="auto"/>
        <w:ind w:firstLine="560" w:firstLineChars="200"/>
        <w:textAlignment w:val="auto"/>
        <w:outlineLvl w:val="9"/>
        <w:rPr>
          <w:rFonts w:hint="eastAsia" w:ascii="仿宋" w:hAnsi="仿宋" w:eastAsia="仿宋" w:cs="仿宋"/>
          <w:snapToGrid w:val="0"/>
          <w:color w:val="000000"/>
          <w:sz w:val="28"/>
        </w:rPr>
      </w:pPr>
      <w:r>
        <w:rPr>
          <w:rFonts w:hint="eastAsia" w:ascii="仿宋" w:hAnsi="仿宋" w:eastAsia="仿宋" w:cs="仿宋"/>
          <w:snapToGrid w:val="0"/>
          <w:color w:val="000000"/>
          <w:sz w:val="28"/>
        </w:rPr>
        <w:t>本文件专用于江苏常熟农村商业银行股份有限公司</w:t>
      </w:r>
      <w:r>
        <w:rPr>
          <w:rFonts w:hint="eastAsia" w:ascii="仿宋" w:hAnsi="仿宋" w:eastAsia="仿宋" w:cs="仿宋"/>
          <w:snapToGrid w:val="0"/>
          <w:color w:val="000000"/>
          <w:sz w:val="28"/>
          <w:lang w:val="en-US" w:eastAsia="zh-CN"/>
        </w:rPr>
        <w:t>人行金融基础数据报送项目招标公告书（</w:t>
      </w:r>
      <w:r>
        <w:rPr>
          <w:rFonts w:hint="eastAsia" w:ascii="仿宋" w:hAnsi="仿宋" w:eastAsia="仿宋" w:cs="仿宋"/>
          <w:snapToGrid w:val="0"/>
          <w:color w:val="000000"/>
          <w:sz w:val="28"/>
        </w:rPr>
        <w:t>招标编号：</w:t>
      </w:r>
      <w:r>
        <w:rPr>
          <w:rFonts w:hint="eastAsia" w:ascii="仿宋" w:hAnsi="仿宋" w:eastAsia="仿宋" w:cs="仿宋"/>
          <w:snapToGrid w:val="0"/>
          <w:color w:val="000000"/>
          <w:sz w:val="28"/>
          <w:lang w:val="en-US" w:eastAsia="zh-CN"/>
        </w:rPr>
        <w:t>20210012）的补充说明文件</w:t>
      </w:r>
      <w:r>
        <w:rPr>
          <w:rFonts w:hint="eastAsia" w:ascii="仿宋" w:hAnsi="仿宋" w:eastAsia="仿宋" w:cs="仿宋"/>
          <w:snapToGrid w:val="0"/>
          <w:color w:val="000000"/>
          <w:sz w:val="28"/>
        </w:rPr>
        <w:t>，江苏常熟农村商业银行股份有限公司对本文件及文件内容享有解释权。参加投标单位即视为无条件同意本申明并保证对本</w:t>
      </w:r>
      <w:r>
        <w:rPr>
          <w:rFonts w:hint="eastAsia" w:ascii="仿宋" w:hAnsi="仿宋" w:eastAsia="仿宋" w:cs="仿宋"/>
          <w:snapToGrid w:val="0"/>
          <w:color w:val="000000"/>
          <w:sz w:val="28"/>
          <w:lang w:val="en-US" w:eastAsia="zh-CN"/>
        </w:rPr>
        <w:t>补充说明文件</w:t>
      </w:r>
      <w:r>
        <w:rPr>
          <w:rFonts w:hint="eastAsia" w:ascii="仿宋" w:hAnsi="仿宋" w:eastAsia="仿宋" w:cs="仿宋"/>
          <w:snapToGrid w:val="0"/>
          <w:color w:val="000000"/>
          <w:sz w:val="28"/>
        </w:rPr>
        <w:t>可能涉及的江苏常熟农村商业银行股份有限公司商业秘密予以保密，除经江苏常熟农村商业银行股份有限公司书面同意外，任何单位和个人不得为参与本产品投标以外的目的而出版、复制、传播、销售及使用本</w:t>
      </w:r>
      <w:r>
        <w:rPr>
          <w:rFonts w:hint="eastAsia" w:ascii="仿宋" w:hAnsi="仿宋" w:eastAsia="仿宋" w:cs="仿宋"/>
          <w:snapToGrid w:val="0"/>
          <w:color w:val="000000"/>
          <w:sz w:val="28"/>
          <w:lang w:val="en-US" w:eastAsia="zh-CN"/>
        </w:rPr>
        <w:t>补充说明文件</w:t>
      </w:r>
      <w:r>
        <w:rPr>
          <w:rFonts w:hint="eastAsia" w:ascii="仿宋" w:hAnsi="仿宋" w:eastAsia="仿宋" w:cs="仿宋"/>
          <w:snapToGrid w:val="0"/>
          <w:color w:val="000000"/>
          <w:sz w:val="28"/>
        </w:rPr>
        <w:t>。</w:t>
      </w: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jc w:val="both"/>
        <w:rPr>
          <w:rFonts w:hint="eastAsia" w:ascii="仿宋" w:hAnsi="仿宋" w:eastAsia="仿宋" w:cs="仿宋"/>
          <w:sz w:val="21"/>
          <w:szCs w:val="21"/>
          <w:lang w:val="en-US" w:eastAsia="zh-CN"/>
        </w:rPr>
      </w:pPr>
    </w:p>
    <w:p>
      <w:pPr>
        <w:spacing w:beforeLines="0" w:afterLines="0"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鉴于人行新一代利率报备报送、人行金融基础数据报送以及省联社风险偏好报送关联性较高，为保持数据一致性，三个报送将合并进行招标，现调整</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lang w:val="en-US" w:eastAsia="zh-CN"/>
        </w:rPr>
        <w:t>人行金融基础数据报送项目招标公告书（</w:t>
      </w:r>
      <w:r>
        <w:rPr>
          <w:rFonts w:hint="eastAsia" w:ascii="仿宋" w:hAnsi="仿宋" w:eastAsia="仿宋" w:cs="仿宋"/>
          <w:snapToGrid w:val="0"/>
          <w:color w:val="000000"/>
          <w:sz w:val="28"/>
        </w:rPr>
        <w:t>招标编号：</w:t>
      </w:r>
      <w:r>
        <w:rPr>
          <w:rFonts w:hint="eastAsia" w:ascii="仿宋" w:hAnsi="仿宋" w:eastAsia="仿宋" w:cs="仿宋"/>
          <w:snapToGrid w:val="0"/>
          <w:color w:val="000000"/>
          <w:sz w:val="28"/>
          <w:lang w:val="en-US" w:eastAsia="zh-CN"/>
        </w:rPr>
        <w:t>20210012）</w:t>
      </w:r>
      <w:r>
        <w:rPr>
          <w:rFonts w:hint="eastAsia" w:ascii="仿宋" w:hAnsi="仿宋" w:eastAsia="仿宋" w:cs="仿宋"/>
          <w:sz w:val="28"/>
          <w:szCs w:val="28"/>
          <w:lang w:val="en-US" w:eastAsia="zh-CN"/>
        </w:rPr>
        <w:t>中相关内容：</w:t>
      </w:r>
    </w:p>
    <w:p>
      <w:pPr>
        <w:pStyle w:val="2"/>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原招标文件：</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预期项目实施周期计划</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项目启动：2021 年 05 月 06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项目一阶段上线（基于老核心）： 2021 年 08 月 26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项目二阶段上线（基于新核心）： 2022 年 04 月 30 日</w:t>
      </w:r>
    </w:p>
    <w:p>
      <w:pPr>
        <w:pStyle w:val="2"/>
        <w:numPr>
          <w:ilvl w:val="0"/>
          <w:numId w:val="0"/>
        </w:numPr>
        <w:ind w:firstLine="281"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变更为：</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预期项目实施周期计划</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人行利率报备报送一阶段上线（基于老核心，完成开发与测试）： 2021 年 05 月 25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人行利率报备报送二阶段上线（基于老核心，完成投产上线）： 2021 年 06 月 30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人行利率报备报送</w:t>
      </w:r>
      <w:r>
        <w:rPr>
          <w:rFonts w:hint="eastAsia" w:ascii="仿宋" w:hAnsi="仿宋" w:eastAsia="仿宋" w:cs="仿宋"/>
          <w:b w:val="0"/>
          <w:bCs w:val="0"/>
          <w:kern w:val="2"/>
          <w:sz w:val="28"/>
          <w:szCs w:val="28"/>
          <w:lang w:val="en-US" w:eastAsia="zh-CN" w:bidi="ar-SA"/>
        </w:rPr>
        <w:t>三</w:t>
      </w:r>
      <w:r>
        <w:rPr>
          <w:rFonts w:hint="eastAsia" w:ascii="仿宋" w:hAnsi="仿宋" w:eastAsia="仿宋" w:cs="仿宋"/>
          <w:b w:val="0"/>
          <w:bCs w:val="0"/>
          <w:sz w:val="28"/>
          <w:szCs w:val="28"/>
          <w:lang w:val="en-US" w:eastAsia="zh-CN"/>
        </w:rPr>
        <w:t>阶段上线（基于老核心，完成间连切换直连）： 2021 年 08 月 26 日</w:t>
      </w:r>
    </w:p>
    <w:p>
      <w:pPr>
        <w:pStyle w:val="2"/>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人行利率报备报送四阶段</w:t>
      </w:r>
      <w:r>
        <w:rPr>
          <w:rFonts w:hint="eastAsia" w:ascii="仿宋" w:hAnsi="仿宋" w:eastAsia="仿宋" w:cs="仿宋"/>
          <w:b w:val="0"/>
          <w:bCs w:val="0"/>
          <w:sz w:val="28"/>
          <w:szCs w:val="28"/>
          <w:lang w:val="en-US" w:eastAsia="zh-CN"/>
        </w:rPr>
        <w:t>上线</w:t>
      </w:r>
      <w:r>
        <w:rPr>
          <w:rFonts w:hint="eastAsia" w:ascii="仿宋" w:hAnsi="仿宋" w:eastAsia="仿宋" w:cs="仿宋"/>
          <w:b w:val="0"/>
          <w:bCs w:val="0"/>
          <w:kern w:val="2"/>
          <w:sz w:val="28"/>
          <w:szCs w:val="28"/>
          <w:lang w:val="en-US" w:eastAsia="zh-CN" w:bidi="ar-SA"/>
        </w:rPr>
        <w:t>（基于新核心,完成投产上线）： 2022 年 04 月 30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人行金融基础数据报送一阶段上线（基于老核心</w:t>
      </w:r>
      <w:r>
        <w:rPr>
          <w:rFonts w:hint="eastAsia" w:ascii="仿宋" w:hAnsi="仿宋" w:eastAsia="仿宋" w:cs="仿宋"/>
          <w:b w:val="0"/>
          <w:bCs w:val="0"/>
          <w:kern w:val="2"/>
          <w:sz w:val="28"/>
          <w:szCs w:val="28"/>
          <w:lang w:val="en-US" w:eastAsia="zh-CN" w:bidi="ar-SA"/>
        </w:rPr>
        <w:t>,完成</w:t>
      </w:r>
      <w:r>
        <w:rPr>
          <w:rFonts w:hint="eastAsia" w:ascii="仿宋" w:hAnsi="仿宋" w:eastAsia="仿宋" w:cs="仿宋"/>
          <w:b w:val="0"/>
          <w:bCs w:val="0"/>
          <w:sz w:val="28"/>
          <w:szCs w:val="28"/>
          <w:lang w:val="en-US" w:eastAsia="zh-CN"/>
        </w:rPr>
        <w:t>投产上线）： 2021 年 08 月 26 日</w:t>
      </w:r>
    </w:p>
    <w:p>
      <w:pPr>
        <w:spacing w:beforeLines="0" w:afterLines="0"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人行金融基础数据报送</w:t>
      </w:r>
      <w:r>
        <w:rPr>
          <w:rFonts w:hint="eastAsia" w:ascii="仿宋" w:hAnsi="仿宋" w:eastAsia="仿宋" w:cs="仿宋"/>
          <w:b w:val="0"/>
          <w:bCs w:val="0"/>
          <w:kern w:val="2"/>
          <w:sz w:val="28"/>
          <w:szCs w:val="28"/>
          <w:lang w:val="en-US" w:eastAsia="zh-CN" w:bidi="ar-SA"/>
        </w:rPr>
        <w:t>三</w:t>
      </w:r>
      <w:r>
        <w:rPr>
          <w:rFonts w:hint="eastAsia" w:ascii="仿宋" w:hAnsi="仿宋" w:eastAsia="仿宋" w:cs="仿宋"/>
          <w:b w:val="0"/>
          <w:bCs w:val="0"/>
          <w:sz w:val="28"/>
          <w:szCs w:val="28"/>
          <w:lang w:val="en-US" w:eastAsia="zh-CN"/>
        </w:rPr>
        <w:t>阶段上线（基于新核心</w:t>
      </w:r>
      <w:r>
        <w:rPr>
          <w:rFonts w:hint="eastAsia" w:ascii="仿宋" w:hAnsi="仿宋" w:eastAsia="仿宋" w:cs="仿宋"/>
          <w:b w:val="0"/>
          <w:bCs w:val="0"/>
          <w:kern w:val="2"/>
          <w:sz w:val="28"/>
          <w:szCs w:val="28"/>
          <w:lang w:val="en-US" w:eastAsia="zh-CN" w:bidi="ar-SA"/>
        </w:rPr>
        <w:t>,完成</w:t>
      </w:r>
      <w:r>
        <w:rPr>
          <w:rFonts w:hint="eastAsia" w:ascii="仿宋" w:hAnsi="仿宋" w:eastAsia="仿宋" w:cs="仿宋"/>
          <w:b w:val="0"/>
          <w:bCs w:val="0"/>
          <w:sz w:val="28"/>
          <w:szCs w:val="28"/>
          <w:lang w:val="en-US" w:eastAsia="zh-CN"/>
        </w:rPr>
        <w:t>投产上线）： 2022 年 04 月 30 日</w:t>
      </w:r>
    </w:p>
    <w:p>
      <w:pPr>
        <w:pStyle w:val="2"/>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省联社风险偏好报送</w:t>
      </w:r>
      <w:r>
        <w:rPr>
          <w:rFonts w:hint="eastAsia" w:ascii="仿宋" w:hAnsi="仿宋" w:eastAsia="仿宋" w:cs="仿宋"/>
          <w:b w:val="0"/>
          <w:bCs w:val="0"/>
          <w:sz w:val="28"/>
          <w:szCs w:val="28"/>
          <w:lang w:val="en-US" w:eastAsia="zh-CN"/>
        </w:rPr>
        <w:t>一阶段上线（基于老核心</w:t>
      </w:r>
      <w:r>
        <w:rPr>
          <w:rFonts w:hint="eastAsia" w:ascii="仿宋" w:hAnsi="仿宋" w:eastAsia="仿宋" w:cs="仿宋"/>
          <w:b w:val="0"/>
          <w:bCs w:val="0"/>
          <w:kern w:val="2"/>
          <w:sz w:val="28"/>
          <w:szCs w:val="28"/>
          <w:lang w:val="en-US" w:eastAsia="zh-CN" w:bidi="ar-SA"/>
        </w:rPr>
        <w:t>,完成</w:t>
      </w:r>
      <w:r>
        <w:rPr>
          <w:rFonts w:hint="eastAsia" w:ascii="仿宋" w:hAnsi="仿宋" w:eastAsia="仿宋" w:cs="仿宋"/>
          <w:b w:val="0"/>
          <w:bCs w:val="0"/>
          <w:sz w:val="28"/>
          <w:szCs w:val="28"/>
          <w:lang w:val="en-US" w:eastAsia="zh-CN"/>
        </w:rPr>
        <w:t xml:space="preserve">投产上线）： </w:t>
      </w:r>
    </w:p>
    <w:p>
      <w:pPr>
        <w:spacing w:beforeLines="0" w:afterLines="0"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 年 06 月 30 日</w:t>
      </w:r>
    </w:p>
    <w:p>
      <w:pPr>
        <w:pStyle w:val="2"/>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省联社风险偏好报送</w:t>
      </w:r>
      <w:r>
        <w:rPr>
          <w:rFonts w:hint="eastAsia" w:ascii="仿宋" w:hAnsi="仿宋" w:eastAsia="仿宋" w:cs="仿宋"/>
          <w:b w:val="0"/>
          <w:bCs w:val="0"/>
          <w:sz w:val="28"/>
          <w:szCs w:val="28"/>
          <w:lang w:val="en-US" w:eastAsia="zh-CN"/>
        </w:rPr>
        <w:t>二阶段上线（基于新核心</w:t>
      </w:r>
      <w:r>
        <w:rPr>
          <w:rFonts w:hint="eastAsia" w:ascii="仿宋" w:hAnsi="仿宋" w:eastAsia="仿宋" w:cs="仿宋"/>
          <w:b w:val="0"/>
          <w:bCs w:val="0"/>
          <w:kern w:val="2"/>
          <w:sz w:val="28"/>
          <w:szCs w:val="28"/>
          <w:lang w:val="en-US" w:eastAsia="zh-CN" w:bidi="ar-SA"/>
        </w:rPr>
        <w:t>,完成</w:t>
      </w:r>
      <w:r>
        <w:rPr>
          <w:rFonts w:hint="eastAsia" w:ascii="仿宋" w:hAnsi="仿宋" w:eastAsia="仿宋" w:cs="仿宋"/>
          <w:b w:val="0"/>
          <w:bCs w:val="0"/>
          <w:sz w:val="28"/>
          <w:szCs w:val="28"/>
          <w:lang w:val="en-US" w:eastAsia="zh-CN"/>
        </w:rPr>
        <w:t xml:space="preserve">投产上线）： </w:t>
      </w:r>
    </w:p>
    <w:p>
      <w:pPr>
        <w:spacing w:beforeLines="0" w:afterLines="0" w:line="360" w:lineRule="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2022 年 04 月 30 日</w:t>
      </w:r>
    </w:p>
    <w:p>
      <w:pPr>
        <w:pStyle w:val="2"/>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原招标文件：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发文要求，完成开发人行金融基础数据模型(32张)并对报送数据进行验证，按人行要求分阶段完成上线，同时需要保障到20211231号的报送，并保证常态化报送的及时性、准确性。配合完成本项目相关的问题数据的治理和项目周期内的数据及时报送保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需具备成熟的校验功能及规则，支持灵活的校验配置功能；系统需具备完善的明细数据修正功能，支持灵活的指标数据应用及图形化展示，具备成熟的流程化管理功能等。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2021年4月-2022年4月是我行新核心的改造（计划：开发阶段：202104-202108，测试阶段:202108-202111，封版阶段:202112-202204，上线:202204)，人行金融基础数据报送系统在新核心改造计划内也需要完成同步改造。</w:t>
      </w:r>
    </w:p>
    <w:p>
      <w:pPr>
        <w:pStyle w:val="2"/>
        <w:numPr>
          <w:ilvl w:val="0"/>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变更为：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发文要求，1、完成开发人行金融基础数据模型(32张)开发测试工作并按人行要求的系统自动化出数时间分批次完成投产上线，保证上线后数据报送的及时性、准确性；2、完成人行利率报备报送数据模型（37张）开发测试工作以及联调测试工作并在2021年6月30日完成投产上线，保证上线后数据报送的及时性、准确性，在2021年9月24日前完成间连转直连报送。3、完成省联社风险偏好数据模型（5张）开发测试工作，根据招标要求完成投产上线工作，根据省联社指标问题反馈调整取数口径，完成指标核对工作。4、结合行内融合层现状，分析融合层数据可使用情况，根据分析报告评估能否在融合层出数以及如何完善融合层建设（仅针对报送涉及业务字段）,报送字段从融合层取数的字段覆盖率至少需要达到60%。5、按行内模版梳理行内数据质量问题，协助推进行内数据治理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人行金融基础数据报送</w:t>
      </w:r>
      <w:r>
        <w:rPr>
          <w:rFonts w:hint="eastAsia" w:ascii="仿宋" w:hAnsi="仿宋" w:eastAsia="仿宋" w:cs="仿宋"/>
          <w:b w:val="0"/>
          <w:bCs w:val="0"/>
          <w:sz w:val="28"/>
          <w:szCs w:val="28"/>
          <w:lang w:val="en-US" w:eastAsia="zh-CN"/>
        </w:rPr>
        <w:t>&amp;人行</w:t>
      </w:r>
      <w:r>
        <w:rPr>
          <w:rFonts w:hint="eastAsia" w:ascii="仿宋" w:hAnsi="仿宋" w:eastAsia="仿宋" w:cs="仿宋"/>
          <w:b w:val="0"/>
          <w:bCs w:val="0"/>
          <w:sz w:val="28"/>
          <w:szCs w:val="28"/>
          <w:lang w:eastAsia="zh-CN"/>
        </w:rPr>
        <w:t>利率报备报送</w:t>
      </w:r>
      <w:r>
        <w:rPr>
          <w:rFonts w:hint="eastAsia" w:ascii="仿宋" w:hAnsi="仿宋" w:eastAsia="仿宋" w:cs="仿宋"/>
          <w:b w:val="0"/>
          <w:bCs w:val="0"/>
          <w:sz w:val="28"/>
          <w:szCs w:val="28"/>
          <w:lang w:val="en-US" w:eastAsia="zh-CN"/>
        </w:rPr>
        <w:t>&amp;省联社风险偏好报送分别对应产品三大模块，产品需具备成熟的校验功能及规则，支持灵活的校验配置功能；系统需具备完善的明细数据修正功能，支持灵活的指标数据应用及图形化展示，具备成熟的流程化管理功能，产品需要运维敏捷，数据补录功能完善且能够进行个性化开发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4月-2022年4月是我行新核心的改造（计划：开发阶段：202104-202108，测试阶段:202108-202111，封版阶段:202112-202204，上线:202204)，人行金融基础数据报送、人行利率报备、省联社风险偏好报送在新核心改造计划内也需要完成同步改造。</w:t>
      </w:r>
    </w:p>
    <w:p>
      <w:pPr>
        <w:pStyle w:val="2"/>
        <w:numPr>
          <w:ilvl w:val="0"/>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其余不变。</w:t>
      </w:r>
    </w:p>
    <w:p>
      <w:pPr>
        <w:pStyle w:val="2"/>
        <w:numPr>
          <w:ilvl w:val="0"/>
          <w:numId w:val="0"/>
        </w:numPr>
        <w:ind w:leftChars="0"/>
        <w:jc w:val="right"/>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常熟农商银行</w:t>
      </w:r>
    </w:p>
    <w:p>
      <w:pPr>
        <w:pStyle w:val="2"/>
        <w:numPr>
          <w:ilvl w:val="0"/>
          <w:numId w:val="0"/>
        </w:numPr>
        <w:ind w:lef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2021年04月15日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21AF9"/>
    <w:multiLevelType w:val="singleLevel"/>
    <w:tmpl w:val="F7121A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F2714"/>
    <w:rsid w:val="018A205C"/>
    <w:rsid w:val="01CD2594"/>
    <w:rsid w:val="02C338D0"/>
    <w:rsid w:val="02FF2C7F"/>
    <w:rsid w:val="03581356"/>
    <w:rsid w:val="05837D3E"/>
    <w:rsid w:val="064F5830"/>
    <w:rsid w:val="066B3D68"/>
    <w:rsid w:val="07447ACF"/>
    <w:rsid w:val="07725D09"/>
    <w:rsid w:val="07D34645"/>
    <w:rsid w:val="07DB2053"/>
    <w:rsid w:val="0815273D"/>
    <w:rsid w:val="081B53DE"/>
    <w:rsid w:val="08B216C2"/>
    <w:rsid w:val="090A10A1"/>
    <w:rsid w:val="0A0020B1"/>
    <w:rsid w:val="0AAB178C"/>
    <w:rsid w:val="0C684039"/>
    <w:rsid w:val="0D064C1E"/>
    <w:rsid w:val="0D0F2714"/>
    <w:rsid w:val="0D7939EE"/>
    <w:rsid w:val="0DF709F5"/>
    <w:rsid w:val="0E724EA5"/>
    <w:rsid w:val="0EA35551"/>
    <w:rsid w:val="0F7E6FB6"/>
    <w:rsid w:val="0FE316D1"/>
    <w:rsid w:val="106C6FA0"/>
    <w:rsid w:val="10F20FA5"/>
    <w:rsid w:val="12BA4882"/>
    <w:rsid w:val="1359013E"/>
    <w:rsid w:val="135F0393"/>
    <w:rsid w:val="16620234"/>
    <w:rsid w:val="16C45ACF"/>
    <w:rsid w:val="17157CE8"/>
    <w:rsid w:val="176A598B"/>
    <w:rsid w:val="178441FC"/>
    <w:rsid w:val="191C0536"/>
    <w:rsid w:val="198E3493"/>
    <w:rsid w:val="1A0F74AF"/>
    <w:rsid w:val="1A17261F"/>
    <w:rsid w:val="1B5813DD"/>
    <w:rsid w:val="1B811C42"/>
    <w:rsid w:val="1C963BF5"/>
    <w:rsid w:val="1CF97BC1"/>
    <w:rsid w:val="1D0A2656"/>
    <w:rsid w:val="1E694928"/>
    <w:rsid w:val="204C018B"/>
    <w:rsid w:val="20B021CC"/>
    <w:rsid w:val="220003F8"/>
    <w:rsid w:val="220075AC"/>
    <w:rsid w:val="23713A6D"/>
    <w:rsid w:val="23DC0D7D"/>
    <w:rsid w:val="24FF1932"/>
    <w:rsid w:val="266C2219"/>
    <w:rsid w:val="266E66B4"/>
    <w:rsid w:val="268B77F6"/>
    <w:rsid w:val="276A0D13"/>
    <w:rsid w:val="277F22BC"/>
    <w:rsid w:val="27955964"/>
    <w:rsid w:val="28A41883"/>
    <w:rsid w:val="28DB7209"/>
    <w:rsid w:val="2A042CEA"/>
    <w:rsid w:val="2A47135F"/>
    <w:rsid w:val="2B2D4EDB"/>
    <w:rsid w:val="2B664367"/>
    <w:rsid w:val="2BDB1041"/>
    <w:rsid w:val="2C683592"/>
    <w:rsid w:val="2EA3711F"/>
    <w:rsid w:val="3116414B"/>
    <w:rsid w:val="31592D20"/>
    <w:rsid w:val="32307BCB"/>
    <w:rsid w:val="34DD34C9"/>
    <w:rsid w:val="358D0E38"/>
    <w:rsid w:val="358E23EA"/>
    <w:rsid w:val="37FE59F5"/>
    <w:rsid w:val="38891D88"/>
    <w:rsid w:val="388E3248"/>
    <w:rsid w:val="38C862DD"/>
    <w:rsid w:val="39F40F5A"/>
    <w:rsid w:val="3B0B410F"/>
    <w:rsid w:val="3B9A4CA1"/>
    <w:rsid w:val="3D3326D3"/>
    <w:rsid w:val="401625FA"/>
    <w:rsid w:val="40194374"/>
    <w:rsid w:val="405A5BFB"/>
    <w:rsid w:val="422230EE"/>
    <w:rsid w:val="42267D0D"/>
    <w:rsid w:val="44FC743F"/>
    <w:rsid w:val="4506360F"/>
    <w:rsid w:val="45FF22C4"/>
    <w:rsid w:val="46C77B86"/>
    <w:rsid w:val="485C22F1"/>
    <w:rsid w:val="48EF1101"/>
    <w:rsid w:val="48F36080"/>
    <w:rsid w:val="492C5AEA"/>
    <w:rsid w:val="4A54089A"/>
    <w:rsid w:val="4A7B7F87"/>
    <w:rsid w:val="4BB15002"/>
    <w:rsid w:val="4DDE17CC"/>
    <w:rsid w:val="4E942330"/>
    <w:rsid w:val="4ED40CC2"/>
    <w:rsid w:val="4F643602"/>
    <w:rsid w:val="50F96055"/>
    <w:rsid w:val="53746AD6"/>
    <w:rsid w:val="545D3A25"/>
    <w:rsid w:val="551C5E2B"/>
    <w:rsid w:val="578F253F"/>
    <w:rsid w:val="59BA4391"/>
    <w:rsid w:val="59EF7187"/>
    <w:rsid w:val="5ABA0417"/>
    <w:rsid w:val="5B3638A9"/>
    <w:rsid w:val="5BB36B41"/>
    <w:rsid w:val="5C961C97"/>
    <w:rsid w:val="5CE02EF5"/>
    <w:rsid w:val="5D972F5A"/>
    <w:rsid w:val="5DB90B6A"/>
    <w:rsid w:val="5DFA778D"/>
    <w:rsid w:val="5E113D72"/>
    <w:rsid w:val="5E4C590D"/>
    <w:rsid w:val="5F2D5BE6"/>
    <w:rsid w:val="5FC46495"/>
    <w:rsid w:val="617D60CC"/>
    <w:rsid w:val="621078FE"/>
    <w:rsid w:val="622A7B50"/>
    <w:rsid w:val="62780723"/>
    <w:rsid w:val="62BC29FA"/>
    <w:rsid w:val="62E013BA"/>
    <w:rsid w:val="64F51333"/>
    <w:rsid w:val="65536359"/>
    <w:rsid w:val="665E05E4"/>
    <w:rsid w:val="66DF166F"/>
    <w:rsid w:val="6710717C"/>
    <w:rsid w:val="679434F2"/>
    <w:rsid w:val="684C7078"/>
    <w:rsid w:val="689E421A"/>
    <w:rsid w:val="69067C02"/>
    <w:rsid w:val="698E7F80"/>
    <w:rsid w:val="69C13E0C"/>
    <w:rsid w:val="6A5761C3"/>
    <w:rsid w:val="6B9779AE"/>
    <w:rsid w:val="6C1F7A7A"/>
    <w:rsid w:val="6D4C071D"/>
    <w:rsid w:val="6E5B1F0A"/>
    <w:rsid w:val="71F720F7"/>
    <w:rsid w:val="729B0C2C"/>
    <w:rsid w:val="72AE04A7"/>
    <w:rsid w:val="73190782"/>
    <w:rsid w:val="732C0415"/>
    <w:rsid w:val="74796FCC"/>
    <w:rsid w:val="74AD5324"/>
    <w:rsid w:val="74B72E17"/>
    <w:rsid w:val="74BD4884"/>
    <w:rsid w:val="7505168E"/>
    <w:rsid w:val="76567F08"/>
    <w:rsid w:val="76797765"/>
    <w:rsid w:val="778F19DD"/>
    <w:rsid w:val="787945A8"/>
    <w:rsid w:val="78FA2935"/>
    <w:rsid w:val="7A165705"/>
    <w:rsid w:val="7AB83F4D"/>
    <w:rsid w:val="7AD84469"/>
    <w:rsid w:val="7C0A45F3"/>
    <w:rsid w:val="7CC50EE8"/>
    <w:rsid w:val="7DF37679"/>
    <w:rsid w:val="7F2850DB"/>
    <w:rsid w:val="7F392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auto"/>
      <w:jc w:val="center"/>
    </w:pPr>
    <w:rPr>
      <w:rFonts w:hint="eastAsia" w:ascii="宋体" w:eastAsia="楷体_GB2312"/>
      <w:b/>
      <w:sz w:val="72"/>
    </w:rPr>
  </w:style>
  <w:style w:type="paragraph" w:styleId="3">
    <w:name w:val="annotation text"/>
    <w:basedOn w:val="1"/>
    <w:qFormat/>
    <w:uiPriority w:val="0"/>
    <w:pPr>
      <w:jc w:val="left"/>
    </w:p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1111</Words>
  <Characters>1232</Characters>
  <Lines>0</Lines>
  <Paragraphs>0</Paragraphs>
  <TotalTime>2</TotalTime>
  <ScaleCrop>false</ScaleCrop>
  <LinksUpToDate>false</LinksUpToDate>
  <CharactersWithSpaces>1309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2020-03-06T03:01:00Z</dcterms:created>
  <dc:creator>n</dc:creator>
  <cp:lastModifiedBy>n</cp:lastModifiedBy>
  <dcterms:modified xsi:type="dcterms:W3CDTF">2021-04-15T02:00:42Z</dcterms:modified>
  <dc:title>《 常熟农商银行资管产品报送系统项目开发合同》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