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1257"/>
        <w:gridCol w:w="743"/>
        <w:gridCol w:w="600"/>
        <w:gridCol w:w="200"/>
        <w:gridCol w:w="400"/>
        <w:gridCol w:w="20"/>
        <w:gridCol w:w="980"/>
        <w:gridCol w:w="2000"/>
        <w:gridCol w:w="400"/>
        <w:gridCol w:w="220"/>
        <w:gridCol w:w="1380"/>
        <w:gridCol w:w="1700"/>
        <w:gridCol w:w="800"/>
      </w:tblGrid>
      <w:tr>
        <w:tblPrEx>
          <w:tblLayout w:type="fixed"/>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18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“常乐瑞盈1号净值型理财产品”定期报告</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产品管理人：常熟农商银行</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产品托管人：宁波银行</w:t>
            </w:r>
          </w:p>
        </w:tc>
        <w:tc>
          <w:tcPr>
            <w:tcW w:w="800" w:type="dxa"/>
          </w:tcPr>
          <w:p>
            <w:pPr>
              <w:pStyle w:val="4"/>
            </w:pPr>
          </w:p>
        </w:tc>
      </w:tr>
      <w:tr>
        <w:tblPrEx>
          <w:tblLayout w:type="fixed"/>
          <w:tblCellMar>
            <w:top w:w="0" w:type="dxa"/>
            <w:left w:w="10" w:type="dxa"/>
            <w:bottom w:w="0" w:type="dxa"/>
            <w:right w:w="10" w:type="dxa"/>
          </w:tblCellMar>
        </w:tblPrEx>
        <w:trPr>
          <w:trHeight w:val="11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本报告期自2025年01月01日起至12月31日止。</w:t>
            </w:r>
          </w:p>
        </w:tc>
        <w:tc>
          <w:tcPr>
            <w:tcW w:w="800" w:type="dxa"/>
          </w:tcPr>
          <w:p>
            <w:pPr>
              <w:pStyle w:val="4"/>
            </w:pPr>
          </w:p>
        </w:tc>
      </w:tr>
      <w:tr>
        <w:tblPrEx>
          <w:tblLayout w:type="fixed"/>
          <w:tblCellMar>
            <w:top w:w="0" w:type="dxa"/>
            <w:left w:w="10" w:type="dxa"/>
            <w:bottom w:w="0" w:type="dxa"/>
            <w:right w:w="10" w:type="dxa"/>
          </w:tblCellMar>
        </w:tblPrEx>
        <w:trPr>
          <w:trHeight w:val="7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tcPr>
          <w:p>
            <w:pPr>
              <w:pStyle w:val="4"/>
            </w:pPr>
          </w:p>
        </w:tc>
      </w:tr>
      <w:tr>
        <w:tblPrEx>
          <w:tblLayout w:type="fixed"/>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常乐瑞盈1号净值型理财产品</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RY001</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C1115420000002</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报告期末产品份额总额（万份）</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12220</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产品管理人</w:t>
            </w:r>
          </w:p>
        </w:tc>
        <w:tc>
          <w:tcPr>
            <w:tcW w:w="7100" w:type="dxa"/>
            <w:gridSpan w:val="8"/>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常熟农商银行</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产品净值表现</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Pr>
          <w:p>
            <w:pPr>
              <w:pStyle w:val="4"/>
            </w:pPr>
          </w:p>
        </w:tc>
        <w:tc>
          <w:tcPr>
            <w:tcW w:w="7300" w:type="dxa"/>
            <w:gridSpan w:val="9"/>
            <w:tcMar>
              <w:top w:w="0" w:type="dxa"/>
              <w:left w:w="0" w:type="dxa"/>
              <w:bottom w:w="0" w:type="dxa"/>
              <w:right w:w="0" w:type="dxa"/>
            </w:tcMar>
            <w:vAlign w:val="center"/>
          </w:tcPr>
          <w:p>
            <w:pPr>
              <w:spacing w:before="0" w:after="0" w:line="360" w:lineRule="auto"/>
              <w:jc w:val="right"/>
            </w:pPr>
            <w:r>
              <w:rPr>
                <w:rFonts w:ascii="原版宋体" w:hAnsi="原版宋体" w:eastAsia="原版宋体" w:cs="原版宋体"/>
                <w:color w:val="000000"/>
                <w:sz w:val="20"/>
              </w:rPr>
              <w:t>（单位：元）</w:t>
            </w:r>
          </w:p>
        </w:tc>
        <w:tc>
          <w:tcPr>
            <w:tcW w:w="800" w:type="dxa"/>
          </w:tcPr>
          <w:p>
            <w:pPr>
              <w:pStyle w:val="4"/>
            </w:pPr>
          </w:p>
        </w:tc>
      </w:tr>
      <w:tr>
        <w:tblPrEx>
          <w:tblLayout w:type="fixed"/>
          <w:tblCellMar>
            <w:top w:w="0" w:type="dxa"/>
            <w:left w:w="10" w:type="dxa"/>
            <w:bottom w:w="0" w:type="dxa"/>
            <w:right w:w="10" w:type="dxa"/>
          </w:tblCellMar>
        </w:tblPrEx>
        <w:trPr>
          <w:trHeight w:val="20" w:hRule="exact"/>
        </w:trPr>
        <w:tc>
          <w:tcPr>
            <w:tcW w:w="1" w:type="dxa"/>
          </w:tcPr>
          <w:p>
            <w:pPr>
              <w:pStyle w:val="4"/>
            </w:pPr>
          </w:p>
        </w:tc>
        <w:tc>
          <w:tcPr>
            <w:tcW w:w="3400" w:type="dxa"/>
            <w:gridSpan w:val="4"/>
          </w:tcPr>
          <w:p>
            <w:pPr>
              <w:pStyle w:val="4"/>
            </w:pPr>
          </w:p>
        </w:tc>
        <w:tc>
          <w:tcPr>
            <w:tcW w:w="200" w:type="dxa"/>
          </w:tcPr>
          <w:p>
            <w:pPr>
              <w:pStyle w:val="4"/>
            </w:pPr>
          </w:p>
        </w:tc>
        <w:tc>
          <w:tcPr>
            <w:tcW w:w="7100" w:type="dxa"/>
            <w:gridSpan w:val="8"/>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报告期（2025年01月01日-2025年12月31日）</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1.期末产品资产净值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149,359,103.31</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2.期末产品份额净值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1.222230</w:t>
            </w:r>
          </w:p>
        </w:tc>
        <w:tc>
          <w:tcPr>
            <w:tcW w:w="800" w:type="dxa"/>
          </w:tcPr>
          <w:p>
            <w:pPr>
              <w:pStyle w:val="4"/>
            </w:pPr>
          </w:p>
        </w:tc>
      </w:tr>
      <w:tr>
        <w:tblPrEx>
          <w:tblLayout w:type="fixed"/>
          <w:tblCellMar>
            <w:top w:w="0" w:type="dxa"/>
            <w:left w:w="10" w:type="dxa"/>
            <w:bottom w:w="0" w:type="dxa"/>
            <w:right w:w="10" w:type="dxa"/>
          </w:tblCellMar>
        </w:tblPrEx>
        <w:trPr>
          <w:trHeight w:val="440" w:hRule="exact"/>
        </w:trPr>
        <w:tc>
          <w:tcPr>
            <w:tcW w:w="1" w:type="dxa"/>
          </w:tcPr>
          <w:p>
            <w:pPr>
              <w:pStyle w:val="4"/>
            </w:pP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3.期末产品份额累计净值</w:t>
            </w:r>
          </w:p>
        </w:tc>
        <w:tc>
          <w:tcPr>
            <w:tcW w:w="73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1.222230</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5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4  投资组合报告</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4.1 报告期末产品资产组合情况</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占产品总资产的比例（%）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130,416,849.34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85.47%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其中：债券</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130,416,849.34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85.47%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非标资产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权益投资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12,614,778.90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其中：基金</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12,614,778.90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8.27%</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金融衍生品投资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买入返售金融资产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其中：买断式回购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9,559,804.41</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6.26%</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152,591,432.65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tcPr>
          <w:p>
            <w:pPr>
              <w:pStyle w:val="4"/>
            </w:pPr>
          </w:p>
        </w:tc>
      </w:tr>
      <w:tr>
        <w:tblPrEx>
          <w:tblLayout w:type="fixed"/>
          <w:tblCellMar>
            <w:top w:w="0" w:type="dxa"/>
            <w:left w:w="10" w:type="dxa"/>
            <w:bottom w:w="0" w:type="dxa"/>
            <w:right w:w="10" w:type="dxa"/>
          </w:tblCellMar>
        </w:tblPrEx>
        <w:trPr>
          <w:trHeight w:val="2000" w:hRule="exact"/>
        </w:trPr>
        <w:tc>
          <w:tcPr>
            <w:tcW w:w="1" w:type="dxa"/>
          </w:tcPr>
          <w:p>
            <w:pPr>
              <w:pStyle w:val="4"/>
            </w:pPr>
          </w:p>
        </w:tc>
        <w:tc>
          <w:tcPr>
            <w:tcW w:w="800" w:type="dxa"/>
          </w:tcPr>
          <w:p>
            <w:pPr>
              <w:pStyle w:val="4"/>
            </w:pPr>
          </w:p>
        </w:tc>
        <w:tc>
          <w:tcPr>
            <w:tcW w:w="3200" w:type="dxa"/>
            <w:gridSpan w:val="5"/>
          </w:tcPr>
          <w:p>
            <w:pPr>
              <w:pStyle w:val="4"/>
            </w:pPr>
          </w:p>
        </w:tc>
        <w:tc>
          <w:tcPr>
            <w:tcW w:w="20" w:type="dxa"/>
          </w:tcPr>
          <w:p>
            <w:pPr>
              <w:pStyle w:val="4"/>
            </w:pPr>
          </w:p>
        </w:tc>
        <w:tc>
          <w:tcPr>
            <w:tcW w:w="3380" w:type="dxa"/>
            <w:gridSpan w:val="3"/>
          </w:tcPr>
          <w:p>
            <w:pPr>
              <w:pStyle w:val="4"/>
            </w:pPr>
          </w:p>
        </w:tc>
        <w:tc>
          <w:tcPr>
            <w:tcW w:w="220" w:type="dxa"/>
          </w:tcPr>
          <w:p>
            <w:pPr>
              <w:pStyle w:val="4"/>
            </w:pPr>
          </w:p>
        </w:tc>
        <w:tc>
          <w:tcPr>
            <w:tcW w:w="3080" w:type="dxa"/>
            <w:gridSpan w:val="2"/>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4.2 报告期末按债券品种分类的债券投资组合</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7,056,436.88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7,056,436.88</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4.72%</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123,360,412.46</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82.59%</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130,416,849.34</w:t>
            </w:r>
          </w:p>
        </w:tc>
        <w:tc>
          <w:tcPr>
            <w:tcW w:w="308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87.31%</w:t>
            </w:r>
          </w:p>
        </w:tc>
        <w:tc>
          <w:tcPr>
            <w:tcW w:w="800" w:type="dxa"/>
          </w:tcPr>
          <w:p>
            <w:pPr>
              <w:pStyle w:val="4"/>
            </w:pPr>
          </w:p>
        </w:tc>
      </w:tr>
      <w:tr>
        <w:tblPrEx>
          <w:tblLayout w:type="fixed"/>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2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4.3 报告期末按市值占产品资产净值比例大小排名的前十名资产投资明细</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SS114096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22舟交F2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12,411,494.63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8.31%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032480003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24盐城东方PPN001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10,503,187.67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7.03%</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032400717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24盐城国投PPN003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10,333,184.52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6.92%</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SS254510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24海晟02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10,275,765.07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6.88%</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032481143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24淮安国联PPN004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10,255,882.88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6.87%</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032381046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23泰州海陵PPN001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10,239,249.32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6.86%</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032580134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25丽水经开PPN001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10,174,117.12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6.81%</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032400793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24华靖资产PPN003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10,157,972.47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SS256363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24淮建02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10,152,544.38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6.80%</w:t>
            </w:r>
          </w:p>
        </w:tc>
        <w:tc>
          <w:tcPr>
            <w:tcW w:w="800" w:type="dxa"/>
          </w:tcPr>
          <w:p>
            <w:pPr>
              <w:pStyle w:val="4"/>
            </w:pPr>
          </w:p>
        </w:tc>
      </w:tr>
      <w:tr>
        <w:tblPrEx>
          <w:tblLayout w:type="fixed"/>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SS253927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24滨江02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9,478,795.93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6.35%</w:t>
            </w:r>
          </w:p>
        </w:tc>
        <w:tc>
          <w:tcPr>
            <w:tcW w:w="800" w:type="dxa"/>
          </w:tcPr>
          <w:p>
            <w:pPr>
              <w:pStyle w:val="4"/>
            </w:pPr>
          </w:p>
        </w:tc>
      </w:tr>
      <w:tr>
        <w:tblPrEx>
          <w:tblLayout w:type="fixed"/>
          <w:tblCellMar>
            <w:top w:w="0" w:type="dxa"/>
            <w:left w:w="10" w:type="dxa"/>
            <w:bottom w:w="0" w:type="dxa"/>
            <w:right w:w="10" w:type="dxa"/>
          </w:tblCellMar>
        </w:tblPrEx>
        <w:trPr>
          <w:trHeight w:val="58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4.4 报告期末投资组合流动性风险分析</w:t>
            </w:r>
          </w:p>
        </w:tc>
        <w:tc>
          <w:tcPr>
            <w:tcW w:w="800" w:type="dxa"/>
          </w:tcPr>
          <w:p>
            <w:pPr>
              <w:pStyle w:val="4"/>
            </w:pPr>
          </w:p>
        </w:tc>
      </w:tr>
      <w:tr>
        <w:tblPrEx>
          <w:tblLayout w:type="fixed"/>
          <w:tblCellMar>
            <w:top w:w="0" w:type="dxa"/>
            <w:left w:w="10" w:type="dxa"/>
            <w:bottom w:w="0" w:type="dxa"/>
            <w:right w:w="10" w:type="dxa"/>
          </w:tblCellMar>
        </w:tblPrEx>
        <w:trPr>
          <w:trHeight w:val="12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同业存单及高等级信用债占比较高，对于关键时点的规模变动和资金面波动都有充足的准备，且融资渠道畅通多元，风险总体可控。</w:t>
            </w:r>
          </w:p>
        </w:tc>
        <w:tc>
          <w:tcPr>
            <w:tcW w:w="800" w:type="dxa"/>
          </w:tcPr>
          <w:p>
            <w:pPr>
              <w:pStyle w:val="4"/>
            </w:pPr>
          </w:p>
        </w:tc>
      </w:tr>
      <w:tr>
        <w:tblPrEx>
          <w:tblLayout w:type="fixed"/>
          <w:tblCellMar>
            <w:top w:w="0" w:type="dxa"/>
            <w:left w:w="10" w:type="dxa"/>
            <w:bottom w:w="0" w:type="dxa"/>
            <w:right w:w="10" w:type="dxa"/>
          </w:tblCellMar>
        </w:tblPrEx>
        <w:trPr>
          <w:trHeight w:val="1020" w:hRule="exact"/>
        </w:trPr>
        <w:tc>
          <w:tcPr>
            <w:tcW w:w="1" w:type="dxa"/>
          </w:tcPr>
          <w:p>
            <w:pPr>
              <w:pStyle w:val="4"/>
            </w:pPr>
          </w:p>
        </w:tc>
        <w:tc>
          <w:tcPr>
            <w:tcW w:w="800" w:type="dxa"/>
          </w:tcPr>
          <w:p>
            <w:pPr>
              <w:pStyle w:val="4"/>
            </w:pPr>
          </w:p>
        </w:tc>
        <w:tc>
          <w:tcPr>
            <w:tcW w:w="2000" w:type="dxa"/>
            <w:gridSpan w:val="2"/>
          </w:tcPr>
          <w:p>
            <w:pPr>
              <w:pStyle w:val="4"/>
            </w:pPr>
          </w:p>
        </w:tc>
        <w:tc>
          <w:tcPr>
            <w:tcW w:w="2200" w:type="dxa"/>
            <w:gridSpan w:val="5"/>
          </w:tcPr>
          <w:p>
            <w:pPr>
              <w:pStyle w:val="4"/>
            </w:pPr>
          </w:p>
        </w:tc>
        <w:tc>
          <w:tcPr>
            <w:tcW w:w="2000" w:type="dxa"/>
          </w:tcPr>
          <w:p>
            <w:pPr>
              <w:pStyle w:val="4"/>
            </w:pPr>
          </w:p>
        </w:tc>
        <w:tc>
          <w:tcPr>
            <w:tcW w:w="2000" w:type="dxa"/>
            <w:gridSpan w:val="3"/>
          </w:tcPr>
          <w:p>
            <w:pPr>
              <w:pStyle w:val="4"/>
            </w:pPr>
          </w:p>
        </w:tc>
        <w:tc>
          <w:tcPr>
            <w:tcW w:w="1700" w:type="dxa"/>
          </w:tcPr>
          <w:p>
            <w:pPr>
              <w:pStyle w:val="4"/>
            </w:pP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center"/>
          </w:tcPr>
          <w:p>
            <w:pPr>
              <w:spacing w:before="0" w:after="0" w:line="360" w:lineRule="auto"/>
              <w:rPr>
                <w:rFonts w:ascii="原版宋体" w:hAnsi="原版宋体" w:eastAsia="原版宋体" w:cs="原版宋体"/>
                <w:color w:val="000000"/>
                <w:sz w:val="20"/>
              </w:rPr>
            </w:pPr>
            <w:r>
              <w:rPr>
                <w:rFonts w:hint="eastAsia" w:ascii="原版宋体" w:hAnsi="原版宋体" w:eastAsia="原版宋体" w:cs="原版宋体"/>
                <w:b/>
                <w:color w:val="000000"/>
                <w:sz w:val="20"/>
                <w:lang w:val="en-US" w:eastAsia="zh-CN"/>
              </w:rPr>
              <w:t>5</w:t>
            </w:r>
            <w:r>
              <w:rPr>
                <w:rFonts w:ascii="原版宋体" w:hAnsi="原版宋体" w:eastAsia="原版宋体" w:cs="原版宋体"/>
                <w:b/>
                <w:color w:val="000000"/>
                <w:sz w:val="20"/>
              </w:rPr>
              <w:t xml:space="preserve">  </w:t>
            </w:r>
            <w:r>
              <w:rPr>
                <w:rFonts w:hint="eastAsia" w:ascii="原版宋体" w:hAnsi="原版宋体" w:eastAsia="原版宋体" w:cs="原版宋体"/>
                <w:b/>
                <w:color w:val="000000"/>
                <w:sz w:val="20"/>
                <w:lang w:eastAsia="zh-CN"/>
              </w:rPr>
              <w:t>投资账户信息</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户名</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常乐瑞盈1号净值型理财产品</w:t>
            </w:r>
            <w:bookmarkStart w:id="3" w:name="_GoBack"/>
            <w:bookmarkEnd w:id="3"/>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账号</w:t>
            </w:r>
          </w:p>
        </w:tc>
        <w:tc>
          <w:tcPr>
            <w:tcW w:w="8643" w:type="dxa"/>
            <w:gridSpan w:val="11"/>
            <w:tcMar>
              <w:top w:w="0" w:type="dxa"/>
              <w:left w:w="0" w:type="dxa"/>
              <w:bottom w:w="0" w:type="dxa"/>
              <w:right w:w="0" w:type="dxa"/>
            </w:tcMar>
            <w:vAlign w:val="center"/>
          </w:tcPr>
          <w:p>
            <w:pPr>
              <w:jc w:val="center"/>
            </w:pPr>
            <w:r>
              <w:rPr>
                <w:rFonts w:hint="eastAsia" w:asciiTheme="minorEastAsia" w:hAnsiTheme="minorEastAsia" w:eastAsiaTheme="minorEastAsia" w:cstheme="minorEastAsia"/>
                <w:sz w:val="20"/>
                <w:szCs w:val="21"/>
              </w:rPr>
              <w:t>70970122000112108001</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2057" w:type="dxa"/>
            <w:gridSpan w:val="2"/>
            <w:tcMar>
              <w:top w:w="0" w:type="dxa"/>
              <w:left w:w="0" w:type="dxa"/>
              <w:bottom w:w="0" w:type="dxa"/>
              <w:right w:w="0" w:type="dxa"/>
            </w:tcMar>
            <w:vAlign w:val="center"/>
          </w:tcPr>
          <w:p>
            <w:pPr>
              <w:jc w:val="center"/>
              <w:rPr>
                <w:rFonts w:ascii="原版宋体" w:hAnsi="原版宋体" w:eastAsia="原版宋体" w:cs="原版宋体"/>
                <w:color w:val="000000"/>
                <w:sz w:val="20"/>
              </w:rPr>
            </w:pPr>
            <w:r>
              <w:rPr>
                <w:rFonts w:hint="eastAsia" w:ascii="原版宋体" w:hAnsi="原版宋体" w:eastAsia="原版宋体" w:cs="原版宋体"/>
                <w:color w:val="000000"/>
                <w:sz w:val="20"/>
                <w:lang w:eastAsia="zh-CN"/>
              </w:rPr>
              <w:t>开 户 行</w:t>
            </w:r>
          </w:p>
        </w:tc>
        <w:tc>
          <w:tcPr>
            <w:tcW w:w="8643" w:type="dxa"/>
            <w:gridSpan w:val="11"/>
            <w:tcMar>
              <w:top w:w="0" w:type="dxa"/>
              <w:left w:w="0" w:type="dxa"/>
              <w:bottom w:w="0" w:type="dxa"/>
              <w:right w:w="0" w:type="dxa"/>
            </w:tcMar>
            <w:vAlign w:val="center"/>
          </w:tcPr>
          <w:p>
            <w:pPr>
              <w:jc w:val="center"/>
            </w:pPr>
            <w:r>
              <w:rPr>
                <w:rFonts w:hint="eastAsia" w:ascii="原版宋体" w:hAnsi="原版宋体" w:eastAsia="原版宋体" w:cs="原版宋体"/>
                <w:color w:val="000000"/>
                <w:sz w:val="20"/>
                <w:lang w:eastAsia="zh-CN"/>
              </w:rPr>
              <w:t>宁波银行股份有限公司上海分行</w:t>
            </w:r>
          </w:p>
        </w:tc>
        <w:tc>
          <w:tcPr>
            <w:tcW w:w="800" w:type="dxa"/>
            <w:vAlign w:val="top"/>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pPr>
            <w:r>
              <w:rPr>
                <w:rFonts w:ascii="原版宋体" w:hAnsi="原版宋体" w:eastAsia="原版宋体" w:cs="原版宋体"/>
                <w:color w:val="000000"/>
                <w:sz w:val="20"/>
              </w:rPr>
              <w:t xml:space="preserve">    特此公告。</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江苏常熟农村商业银行股份有限公司</w:t>
            </w:r>
          </w:p>
        </w:tc>
        <w:tc>
          <w:tcPr>
            <w:tcW w:w="800" w:type="dxa"/>
          </w:tcPr>
          <w:p>
            <w:pPr>
              <w:pStyle w:val="4"/>
            </w:pPr>
          </w:p>
        </w:tc>
      </w:tr>
      <w:tr>
        <w:tblPrEx>
          <w:tblLayout w:type="fixed"/>
          <w:tblCellMar>
            <w:top w:w="0" w:type="dxa"/>
            <w:left w:w="10" w:type="dxa"/>
            <w:bottom w:w="0" w:type="dxa"/>
            <w:right w:w="10" w:type="dxa"/>
          </w:tblCellMar>
        </w:tblPrEx>
        <w:trPr>
          <w:trHeight w:val="400" w:hRule="exact"/>
        </w:trPr>
        <w:tc>
          <w:tcPr>
            <w:tcW w:w="1" w:type="dxa"/>
          </w:tcPr>
          <w:p>
            <w:pPr>
              <w:pStyle w:val="4"/>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2026年01月05日</w:t>
            </w:r>
          </w:p>
        </w:tc>
        <w:tc>
          <w:tcPr>
            <w:tcW w:w="800" w:type="dxa"/>
          </w:tcPr>
          <w:p>
            <w:pPr>
              <w:pStyle w:val="4"/>
            </w:pPr>
          </w:p>
        </w:tc>
      </w:tr>
    </w:tbl>
    <w:p/>
    <w:sectPr>
      <w:pgSz w:w="13900" w:h="16860"/>
      <w:pgMar w:top="800" w:right="1200" w:bottom="440" w:left="1200" w:header="0" w:footer="0" w:gutter="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原版宋体">
    <w:altName w:val="宋体"/>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documentProtection w:enforcement="0"/>
  <w:defaultTabStop w:val="800"/>
  <w:compat>
    <w:useFELayout/>
    <w:splitPgBreakAndParaMark/>
    <w:compatSetting w:name="compatibilityMode" w:uri="http://schemas.microsoft.com/office/word" w:val="12"/>
  </w:compat>
  <w:rsids>
    <w:rsidRoot w:val="00000000"/>
    <w:rsid w:val="175C3B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Office_11.8.2.8696_F1E327BC-269C-435d-A152-05C5408002CA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2026-01-16T02:12:58Z</dcterms:created>
  <dc:creator>crcb</dc:creator>
  <cp:lastModifiedBy>crcb</cp:lastModifiedBy>
  <dcterms:modified xsi:type="dcterms:W3CDTF">2026-01-16T02:14:56Z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