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bookmarkStart w:id="8" w:name="_GoBack"/>
      <w:bookmarkEnd w:id="8"/>
      <w:r>
        <w:rPr>
          <w:rFonts w:ascii="Calibri" w:hAnsi="Calibri" w:eastAsia="宋体" w:cs="黑体"/>
          <w:kern w:val="2"/>
          <w:sz w:val="21"/>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746125</wp:posOffset>
                </wp:positionH>
                <wp:positionV relativeFrom="paragraph">
                  <wp:posOffset>62230</wp:posOffset>
                </wp:positionV>
                <wp:extent cx="3743960" cy="496570"/>
                <wp:effectExtent l="4445" t="5080" r="23495" b="12700"/>
                <wp:wrapNone/>
                <wp:docPr id="2" name="文本框 2"/>
                <wp:cNvGraphicFramePr/>
                <a:graphic xmlns:a="http://schemas.openxmlformats.org/drawingml/2006/main">
                  <a:graphicData uri="http://schemas.microsoft.com/office/word/2010/wordprocessingShape">
                    <wps:wsp>
                      <wps:cNvSpPr/>
                      <wps:spPr>
                        <a:xfrm>
                          <a:off x="0" y="0"/>
                          <a:ext cx="3743960" cy="49657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wps:spPr>
                      <wps:txbx>
                        <w:txbxContent>
                          <w:p>
                            <w:r>
                              <w:rPr>
                                <w:rFonts w:hint="eastAsia" w:ascii="仿宋_GB2312" w:hAnsi="Arial" w:eastAsia="仿宋_GB2312" w:cs="Arial"/>
                                <w:b/>
                                <w:sz w:val="32"/>
                                <w:szCs w:val="32"/>
                              </w:rPr>
                              <w:t>理财非存款、产品有风险、投资须谨慎！</w:t>
                            </w:r>
                          </w:p>
                        </w:txbxContent>
                      </wps:txbx>
                      <wps:bodyPr upright="1"/>
                    </wps:wsp>
                  </a:graphicData>
                </a:graphic>
              </wp:anchor>
            </w:drawing>
          </mc:Choice>
          <mc:Fallback>
            <w:pict>
              <v:rect id="文本框 2" o:spid="_x0000_s1026" o:spt="1" style="position:absolute;left:0pt;margin-left:58.75pt;margin-top:4.9pt;height:39.1pt;width:294.8pt;z-index:251660288;mso-width-relative:page;mso-height-relative:page;" fillcolor="#FFFFFF" filled="t" stroked="t" coordsize="21600,21600" o:gfxdata="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E4Rd9YAAAAIAQAADwAAAAAAAAABACAAAAAiAAAAZHJzL2Rvd25y&#10;ZXYueG1sUEsBAhQAFAAAAAgAh07iQGepBx05AgAAtAQAAA4AAAAAAAAAAQAgAAAAJQEAAGRycy9l&#10;Mm9Eb2MueG1sUEsFBgAAAAAGAAYAWQEAANAFAAAAAA==&#10;">
                <v:fill type="gradient" on="t" color2="#FFFFFF" angle="90" focus="100%" focussize="0,0"/>
                <v:stroke color="#000000" joinstyle="miter"/>
                <v:imagedata o:title=""/>
                <o:lock v:ext="edit" aspectratio="f"/>
                <v:textbox>
                  <w:txbxContent>
                    <w:p>
                      <w:r>
                        <w:rPr>
                          <w:rFonts w:hint="eastAsia" w:ascii="仿宋_GB2312" w:hAnsi="Arial" w:eastAsia="仿宋_GB2312" w:cs="Arial"/>
                          <w:b/>
                          <w:sz w:val="32"/>
                          <w:szCs w:val="32"/>
                        </w:rPr>
                        <w:t>理财非存款、产品有风险、投资须谨慎！</w:t>
                      </w:r>
                    </w:p>
                  </w:txbxContent>
                </v:textbox>
              </v:rect>
            </w:pict>
          </mc:Fallback>
        </mc:AlternateContent>
      </w:r>
    </w:p>
    <w:p>
      <w:pPr>
        <w:rPr>
          <w:highlight w:val="none"/>
        </w:rPr>
      </w:pPr>
    </w:p>
    <w:p>
      <w:pPr>
        <w:rPr>
          <w:highlight w:val="none"/>
        </w:rPr>
      </w:pPr>
    </w:p>
    <w:p>
      <w:pPr>
        <w:jc w:val="center"/>
        <w:rPr>
          <w:highlight w:val="none"/>
        </w:rPr>
      </w:pPr>
    </w:p>
    <w:p>
      <w:pPr>
        <w:snapToGrid w:val="0"/>
        <w:spacing w:before="156" w:beforeLines="50" w:line="480" w:lineRule="exact"/>
        <w:jc w:val="center"/>
        <w:rPr>
          <w:rFonts w:ascii="方正大标宋简体" w:hAnsi="宋体" w:eastAsia="方正大标宋简体"/>
          <w:b/>
          <w:sz w:val="36"/>
          <w:highlight w:val="none"/>
        </w:rPr>
      </w:pPr>
      <w:r>
        <w:rPr>
          <w:rFonts w:hint="eastAsia" w:ascii="方正大标宋简体" w:hAnsi="宋体" w:eastAsia="方正大标宋简体"/>
          <w:b/>
          <w:sz w:val="36"/>
          <w:highlight w:val="none"/>
        </w:rPr>
        <w:t>常乐</w:t>
      </w:r>
      <w:r>
        <w:rPr>
          <w:rFonts w:hint="eastAsia" w:ascii="方正大标宋简体" w:hAnsi="宋体" w:eastAsia="方正大标宋简体"/>
          <w:b/>
          <w:sz w:val="36"/>
          <w:highlight w:val="none"/>
          <w:lang w:eastAsia="zh-CN"/>
        </w:rPr>
        <w:t>瑞</w:t>
      </w:r>
      <w:r>
        <w:rPr>
          <w:rFonts w:hint="eastAsia" w:ascii="方正大标宋简体" w:hAnsi="宋体" w:eastAsia="方正大标宋简体"/>
          <w:b/>
          <w:sz w:val="36"/>
          <w:highlight w:val="none"/>
        </w:rPr>
        <w:t>盈</w:t>
      </w:r>
      <w:r>
        <w:rPr>
          <w:rFonts w:hint="eastAsia" w:ascii="方正大标宋简体" w:hAnsi="宋体" w:eastAsia="方正大标宋简体"/>
          <w:b/>
          <w:sz w:val="36"/>
          <w:highlight w:val="none"/>
          <w:u w:val="single"/>
        </w:rPr>
        <w:t>1号</w:t>
      </w:r>
      <w:r>
        <w:rPr>
          <w:rFonts w:hint="eastAsia" w:ascii="方正大标宋简体" w:hAnsi="宋体" w:eastAsia="方正大标宋简体"/>
          <w:b/>
          <w:sz w:val="36"/>
          <w:highlight w:val="none"/>
        </w:rPr>
        <w:t>净值型理财产品说明书</w:t>
      </w:r>
    </w:p>
    <w:p>
      <w:pPr>
        <w:snapToGrid w:val="0"/>
        <w:spacing w:before="156" w:beforeLines="50" w:line="480" w:lineRule="exact"/>
        <w:jc w:val="center"/>
        <w:rPr>
          <w:rFonts w:ascii="方正大标宋简体" w:hAnsi="宋体" w:eastAsia="方正大标宋简体"/>
          <w:b/>
          <w:highlight w:val="none"/>
        </w:rPr>
      </w:pPr>
    </w:p>
    <w:p>
      <w:pPr>
        <w:snapToGrid w:val="0"/>
        <w:spacing w:line="360" w:lineRule="atLeast"/>
        <w:ind w:firstLine="522" w:firstLineChars="200"/>
        <w:jc w:val="center"/>
        <w:rPr>
          <w:rFonts w:ascii="楷体_GB2312" w:hAnsi="Times New Roman" w:eastAsia="楷体_GB2312"/>
          <w:b/>
          <w:spacing w:val="-10"/>
          <w:kern w:val="0"/>
          <w:sz w:val="28"/>
          <w:highlight w:val="none"/>
        </w:rPr>
      </w:pPr>
      <w:r>
        <w:rPr>
          <w:rFonts w:hint="eastAsia" w:ascii="楷体_GB2312" w:hAnsi="Times New Roman" w:eastAsia="楷体_GB2312"/>
          <w:b/>
          <w:spacing w:val="-10"/>
          <w:kern w:val="0"/>
          <w:sz w:val="28"/>
          <w:highlight w:val="none"/>
        </w:rPr>
        <w:t>重要提示</w:t>
      </w:r>
    </w:p>
    <w:p>
      <w:pPr>
        <w:snapToGrid w:val="0"/>
        <w:spacing w:line="360" w:lineRule="exact"/>
        <w:rPr>
          <w:rFonts w:ascii="楷体_GB2312" w:eastAsia="楷体_GB2312"/>
          <w:szCs w:val="21"/>
          <w:highlight w:val="none"/>
        </w:rPr>
      </w:pPr>
      <w:r>
        <w:rPr>
          <w:rFonts w:hint="eastAsia" w:ascii="楷体_GB2312" w:eastAsia="楷体_GB2312"/>
          <w:szCs w:val="21"/>
          <w:highlight w:val="none"/>
        </w:rPr>
        <w:t>尊敬的投资者：</w:t>
      </w:r>
    </w:p>
    <w:p>
      <w:pPr>
        <w:snapToGrid w:val="0"/>
        <w:spacing w:line="360" w:lineRule="exact"/>
        <w:ind w:firstLine="420" w:firstLineChars="200"/>
        <w:rPr>
          <w:rFonts w:ascii="楷体_GB2312" w:eastAsia="楷体_GB2312"/>
          <w:b/>
          <w:bCs/>
          <w:szCs w:val="21"/>
          <w:highlight w:val="none"/>
        </w:rPr>
      </w:pPr>
      <w:r>
        <w:rPr>
          <w:rFonts w:hint="eastAsia" w:ascii="楷体_GB2312" w:eastAsia="楷体_GB2312"/>
          <w:szCs w:val="21"/>
          <w:highlight w:val="none"/>
        </w:rPr>
        <w:t>江苏常熟农村商业银行股份有限公司（以下简称“常熟农商银行”或“银行”、“管理人”）销售的理财产品与存款存在明显区别，具有一定的风险。常熟农商银行郑重提示：</w:t>
      </w:r>
      <w:r>
        <w:rPr>
          <w:rFonts w:hint="eastAsia" w:ascii="楷体_GB2312" w:eastAsia="楷体_GB2312"/>
          <w:b/>
          <w:bCs/>
          <w:szCs w:val="21"/>
          <w:highlight w:val="none"/>
        </w:rPr>
        <w:t>在购买理财产品前，您应仔细阅读理财产品销售文件，确保自己完全理解该项投资的性质和所涉及的风险，详细了解和审慎评估该理财产品的资金投资方向、风险类型及业绩比较基准（如有）等基本情况，在慎重考虑后自行决定购买与自身风险承受能力和资产管理需求匹配的理财产品。</w:t>
      </w:r>
    </w:p>
    <w:p>
      <w:pPr>
        <w:snapToGrid w:val="0"/>
        <w:spacing w:line="360" w:lineRule="exact"/>
        <w:ind w:firstLine="422" w:firstLineChars="200"/>
        <w:rPr>
          <w:rFonts w:ascii="楷体_GB2312" w:eastAsia="楷体_GB2312"/>
          <w:b/>
          <w:bCs/>
          <w:szCs w:val="21"/>
          <w:highlight w:val="none"/>
        </w:rPr>
      </w:pPr>
      <w:r>
        <w:rPr>
          <w:rFonts w:hint="eastAsia" w:ascii="楷体_GB2312" w:eastAsia="楷体_GB2312"/>
          <w:b/>
          <w:bCs/>
          <w:szCs w:val="21"/>
          <w:highlight w:val="none"/>
        </w:rPr>
        <w:t>在购买本理财计划后，投资者应随时关注信息披露情况，及时获取相息，相关信息以本《产品说明书》约定的披露方式为准。</w:t>
      </w:r>
    </w:p>
    <w:p>
      <w:pPr>
        <w:snapToGrid w:val="0"/>
        <w:spacing w:line="360" w:lineRule="exact"/>
        <w:ind w:firstLine="422" w:firstLineChars="200"/>
        <w:rPr>
          <w:rFonts w:ascii="楷体_GB2312" w:eastAsia="楷体_GB2312"/>
          <w:b/>
          <w:bCs/>
          <w:szCs w:val="21"/>
          <w:highlight w:val="none"/>
        </w:rPr>
      </w:pPr>
      <w:r>
        <w:rPr>
          <w:rFonts w:hint="eastAsia" w:ascii="楷体_GB2312" w:eastAsia="楷体_GB2312"/>
          <w:b/>
          <w:bCs/>
          <w:szCs w:val="21"/>
          <w:highlight w:val="none"/>
        </w:rPr>
        <w:t>除本《产品说明书》中明确规定的收益及分配方式外，任何业绩比较基准或类似表述均属不具有法律约束力的用语，不代表投资者可能获得实际收益，亦不构成管理人对本理财产品的任何收益承诺。投资者所能获得最终以管理人实际支付的为准。</w:t>
      </w:r>
    </w:p>
    <w:p>
      <w:pPr>
        <w:snapToGrid w:val="0"/>
        <w:spacing w:line="360" w:lineRule="exact"/>
        <w:ind w:firstLine="422" w:firstLineChars="200"/>
        <w:rPr>
          <w:rFonts w:ascii="楷体_GB2312" w:eastAsia="楷体_GB2312"/>
          <w:b/>
          <w:szCs w:val="21"/>
          <w:highlight w:val="none"/>
        </w:rPr>
      </w:pPr>
      <w:r>
        <w:rPr>
          <w:rFonts w:hint="eastAsia" w:ascii="楷体_GB2312" w:eastAsia="楷体_GB2312"/>
          <w:b/>
          <w:szCs w:val="21"/>
          <w:highlight w:val="none"/>
        </w:rPr>
        <w:t>本产品说明书与《</w:t>
      </w:r>
      <w:r>
        <w:rPr>
          <w:rFonts w:ascii="楷体_GB2312" w:eastAsia="楷体_GB2312"/>
          <w:b/>
          <w:szCs w:val="21"/>
          <w:highlight w:val="none"/>
        </w:rPr>
        <w:t>风险</w:t>
      </w:r>
      <w:r>
        <w:rPr>
          <w:rFonts w:hint="eastAsia" w:ascii="楷体_GB2312" w:eastAsia="楷体_GB2312"/>
          <w:b/>
          <w:szCs w:val="21"/>
          <w:highlight w:val="none"/>
        </w:rPr>
        <w:t>揭示书》、《理财产品协议书》、《投资者权益须知》共同构成完整的不可分割的理财合同。若本产品说明书内容与前述文件不一致的，以本产品说明书为准。在购买本产品前，您应认真阅读本理财产品合同，注意与您有重大利害关系的条款，如</w:t>
      </w:r>
      <w:r>
        <w:rPr>
          <w:rFonts w:hint="eastAsia" w:ascii="楷体_GB2312" w:eastAsia="楷体_GB2312"/>
          <w:b/>
          <w:bCs/>
          <w:szCs w:val="21"/>
          <w:highlight w:val="none"/>
        </w:rPr>
        <w:t>理财产品的投资方向、风险类型及业绩比较基准（如有）等，</w:t>
      </w:r>
      <w:r>
        <w:rPr>
          <w:rFonts w:hint="eastAsia" w:ascii="楷体_GB2312" w:eastAsia="楷体_GB2312"/>
          <w:b/>
          <w:szCs w:val="21"/>
          <w:highlight w:val="none"/>
        </w:rPr>
        <w:t>特别是加粗、斜体、加框条款，若对本理财产品合同的内容有任何疑问，请向常熟农商银行营业网点咨询。</w:t>
      </w:r>
    </w:p>
    <w:p>
      <w:pPr>
        <w:snapToGrid w:val="0"/>
        <w:spacing w:line="360" w:lineRule="exact"/>
        <w:ind w:firstLine="422" w:firstLineChars="200"/>
        <w:rPr>
          <w:rFonts w:ascii="楷体_GB2312" w:eastAsia="楷体_GB2312"/>
          <w:b/>
          <w:szCs w:val="21"/>
          <w:highlight w:val="none"/>
        </w:rPr>
      </w:pPr>
      <w:r>
        <w:rPr>
          <w:rFonts w:hint="eastAsia" w:ascii="楷体_GB2312" w:eastAsia="楷体_GB2312"/>
          <w:b/>
          <w:szCs w:val="21"/>
          <w:highlight w:val="none"/>
        </w:rPr>
        <w:t>常熟农商银行有权依法对本产品说明书进行解释。</w:t>
      </w:r>
    </w:p>
    <w:p>
      <w:pPr>
        <w:snapToGrid w:val="0"/>
        <w:spacing w:line="360" w:lineRule="atLeast"/>
        <w:ind w:firstLine="359"/>
        <w:rPr>
          <w:rFonts w:ascii="Times New Roman" w:hAnsi="Times New Roman" w:eastAsia="楷体_GB2312"/>
          <w:highlight w:val="none"/>
        </w:rPr>
      </w:pPr>
    </w:p>
    <w:p>
      <w:pPr>
        <w:spacing w:line="360" w:lineRule="atLeast"/>
        <w:jc w:val="center"/>
        <w:rPr>
          <w:rFonts w:ascii="楷体_GB2312" w:hAnsi="Times New Roman" w:eastAsia="楷体_GB2312"/>
          <w:b/>
          <w:sz w:val="28"/>
          <w:highlight w:val="none"/>
        </w:rPr>
      </w:pPr>
      <w:r>
        <w:rPr>
          <w:rFonts w:hint="eastAsia" w:ascii="楷体_GB2312" w:hAnsi="Times New Roman" w:eastAsia="楷体_GB2312"/>
          <w:b/>
          <w:sz w:val="28"/>
          <w:highlight w:val="none"/>
        </w:rPr>
        <w:t>一、产品基本要素</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楷体_GB2312" w:hAnsi="Times New Roman" w:eastAsia="楷体_GB2312"/>
                <w:b/>
                <w:highlight w:val="none"/>
              </w:rPr>
              <w:t>产品名称/</w:t>
            </w:r>
            <w:r>
              <w:rPr>
                <w:rFonts w:hint="eastAsia" w:ascii="Times New Roman" w:hAnsi="Times New Roman" w:eastAsia="楷体_GB2312"/>
                <w:b/>
                <w:highlight w:val="none"/>
              </w:rPr>
              <w:t>本产品/产品</w:t>
            </w:r>
          </w:p>
        </w:tc>
        <w:tc>
          <w:tcPr>
            <w:tcW w:w="6193" w:type="dxa"/>
            <w:vAlign w:val="top"/>
          </w:tcPr>
          <w:p>
            <w:pPr>
              <w:spacing w:line="360" w:lineRule="exact"/>
              <w:rPr>
                <w:highlight w:val="none"/>
              </w:rPr>
            </w:pPr>
            <w:r>
              <w:rPr>
                <w:rFonts w:hint="eastAsia" w:ascii="Times New Roman" w:hAnsi="Times New Roman" w:eastAsia="楷体_GB2312"/>
                <w:highlight w:val="none"/>
              </w:rPr>
              <w:t>常乐</w:t>
            </w:r>
            <w:r>
              <w:rPr>
                <w:rFonts w:hint="eastAsia" w:ascii="Times New Roman" w:hAnsi="Times New Roman" w:eastAsia="楷体_GB2312"/>
                <w:highlight w:val="none"/>
                <w:lang w:eastAsia="zh-CN"/>
              </w:rPr>
              <w:t>瑞</w:t>
            </w:r>
            <w:r>
              <w:rPr>
                <w:rFonts w:hint="eastAsia" w:ascii="Times New Roman" w:hAnsi="Times New Roman" w:eastAsia="楷体_GB2312"/>
                <w:highlight w:val="none"/>
              </w:rPr>
              <w:t>盈</w:t>
            </w:r>
            <w:r>
              <w:rPr>
                <w:rFonts w:hint="eastAsia" w:ascii="Times New Roman" w:hAnsi="Times New Roman" w:eastAsia="楷体_GB2312"/>
                <w:highlight w:val="none"/>
                <w:u w:val="single"/>
              </w:rPr>
              <w:t>1号</w:t>
            </w:r>
            <w:r>
              <w:rPr>
                <w:rFonts w:hint="eastAsia" w:ascii="Times New Roman" w:hAnsi="Times New Roman" w:eastAsia="楷体_GB2312"/>
                <w:highlight w:val="none"/>
              </w:rPr>
              <w:t>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Times New Roman" w:hAnsi="Times New Roman" w:eastAsia="楷体_GB2312"/>
                <w:b/>
                <w:bCs/>
                <w:highlight w:val="none"/>
              </w:rPr>
              <w:t>理财信息登记系统产品编码</w:t>
            </w:r>
          </w:p>
        </w:tc>
        <w:tc>
          <w:tcPr>
            <w:tcW w:w="6193" w:type="dxa"/>
            <w:vAlign w:val="top"/>
          </w:tcPr>
          <w:p>
            <w:pPr>
              <w:spacing w:line="360" w:lineRule="exact"/>
              <w:rPr>
                <w:rFonts w:hint="eastAsia" w:ascii="Times New Roman" w:hAnsi="Times New Roman" w:eastAsia="楷体_GB2312"/>
                <w:highlight w:val="none"/>
                <w:u w:val="single"/>
                <w:lang w:val="en-US" w:eastAsia="zh-CN"/>
              </w:rPr>
            </w:pPr>
            <w:r>
              <w:rPr>
                <w:rFonts w:hint="eastAsia" w:ascii="Times New Roman" w:hAnsi="Times New Roman" w:eastAsia="楷体_GB2312"/>
                <w:highlight w:val="none"/>
                <w:u w:val="single"/>
                <w:lang w:val="en-US" w:eastAsia="zh-CN"/>
              </w:rPr>
              <w:t>C1115420000002</w:t>
            </w:r>
          </w:p>
          <w:p>
            <w:pPr>
              <w:spacing w:line="360" w:lineRule="exact"/>
              <w:rPr>
                <w:highlight w:val="none"/>
              </w:rPr>
            </w:pPr>
            <w:r>
              <w:rPr>
                <w:rFonts w:hint="eastAsia" w:ascii="Times New Roman" w:hAnsi="Times New Roman" w:eastAsia="楷体_GB2312"/>
                <w:highlight w:val="none"/>
              </w:rPr>
              <w:t>投资者可依据该登记编码在中国理财网（www.chinawealth.com.cn）上查询产品信息。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产品编号</w:t>
            </w:r>
          </w:p>
        </w:tc>
        <w:tc>
          <w:tcPr>
            <w:tcW w:w="6193" w:type="dxa"/>
            <w:vAlign w:val="top"/>
          </w:tcPr>
          <w:p>
            <w:pPr>
              <w:rPr>
                <w:highlight w:val="none"/>
              </w:rPr>
            </w:pPr>
            <w:r>
              <w:rPr>
                <w:rFonts w:hint="eastAsia" w:ascii="楷体_GB2312" w:eastAsia="楷体_GB2312"/>
                <w:b/>
                <w:bCs/>
                <w:szCs w:val="21"/>
                <w:highlight w:val="none"/>
                <w:u w:val="single"/>
                <w:lang w:val="en-US" w:eastAsia="zh-CN"/>
              </w:rPr>
              <w:t>R</w:t>
            </w:r>
            <w:r>
              <w:rPr>
                <w:rFonts w:hint="eastAsia" w:ascii="楷体_GB2312" w:eastAsia="楷体_GB2312"/>
                <w:b/>
                <w:bCs/>
                <w:szCs w:val="21"/>
                <w:highlight w:val="none"/>
                <w:u w:val="single"/>
              </w:rPr>
              <w:t>Y001</w:t>
            </w:r>
            <w:r>
              <w:rPr>
                <w:rFonts w:hint="eastAsia" w:ascii="楷体_GB2312" w:hAnsi="Times New Roman" w:eastAsia="楷体_GB2312"/>
                <w:b/>
                <w:highlight w:val="none"/>
                <w:u w:val="single"/>
              </w:rPr>
              <w:t xml:space="preserve">   </w:t>
            </w:r>
            <w:r>
              <w:rPr>
                <w:rFonts w:hint="eastAsia" w:ascii="楷体_GB2312" w:hAnsi="Times New Roman" w:eastAsia="楷体_GB2312"/>
                <w:b/>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rFonts w:hint="eastAsia" w:ascii="楷体_GB2312" w:hAnsi="Times New Roman" w:eastAsia="楷体_GB2312"/>
                <w:b/>
                <w:highlight w:val="none"/>
                <w:lang w:val="en-US" w:eastAsia="zh-CN"/>
              </w:rPr>
            </w:pPr>
            <w:r>
              <w:rPr>
                <w:rFonts w:hint="eastAsia" w:ascii="楷体_GB2312" w:hAnsi="Times New Roman" w:eastAsia="楷体_GB2312"/>
                <w:b/>
                <w:highlight w:val="none"/>
                <w:lang w:val="en-US" w:eastAsia="zh-CN"/>
              </w:rPr>
              <w:t>销售代码</w:t>
            </w:r>
          </w:p>
        </w:tc>
        <w:tc>
          <w:tcPr>
            <w:tcW w:w="6193" w:type="dxa"/>
            <w:vAlign w:val="top"/>
          </w:tcPr>
          <w:p>
            <w:pPr>
              <w:rPr>
                <w:rFonts w:hint="eastAsia" w:ascii="楷体_GB2312" w:hAnsi="Times New Roman" w:eastAsia="楷体_GB2312"/>
                <w:highlight w:val="none"/>
                <w:lang w:val="en-US" w:eastAsia="zh-CN"/>
              </w:rPr>
            </w:pPr>
            <w:r>
              <w:rPr>
                <w:rFonts w:hint="eastAsia" w:ascii="楷体_GB2312" w:hAnsi="Times New Roman" w:eastAsia="楷体_GB2312"/>
                <w:b/>
                <w:bCs/>
                <w:highlight w:val="none"/>
                <w:u w:val="single"/>
                <w:lang w:val="en-US" w:eastAsia="zh-CN"/>
              </w:rPr>
              <w:t>SXRY001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rFonts w:ascii="楷体_GB2312" w:hAnsi="Times New Roman" w:eastAsia="楷体_GB2312"/>
                <w:b/>
                <w:highlight w:val="none"/>
              </w:rPr>
            </w:pPr>
            <w:r>
              <w:rPr>
                <w:rFonts w:hint="eastAsia" w:ascii="楷体_GB2312" w:hAnsi="Times New Roman" w:eastAsia="楷体_GB2312"/>
                <w:b/>
                <w:highlight w:val="none"/>
              </w:rPr>
              <w:t>产品类型</w:t>
            </w:r>
          </w:p>
        </w:tc>
        <w:tc>
          <w:tcPr>
            <w:tcW w:w="6193" w:type="dxa"/>
            <w:vAlign w:val="top"/>
          </w:tcPr>
          <w:p>
            <w:pPr>
              <w:rPr>
                <w:rFonts w:ascii="楷体_GB2312" w:hAnsi="Times New Roman" w:eastAsia="楷体_GB2312"/>
                <w:highlight w:val="none"/>
              </w:rPr>
            </w:pPr>
            <w:r>
              <w:rPr>
                <w:rFonts w:hint="eastAsia" w:ascii="楷体_GB2312" w:hAnsi="Times New Roman" w:eastAsia="楷体_GB2312"/>
                <w:b/>
                <w:bCs/>
                <w:highlight w:val="none"/>
              </w:rPr>
              <w:t>固定收益类,</w:t>
            </w:r>
            <w:r>
              <w:rPr>
                <w:rFonts w:hint="eastAsia" w:ascii="楷体_GB2312" w:hAnsi="Times New Roman" w:eastAsia="楷体_GB2312"/>
                <w:b/>
                <w:bCs/>
                <w:highlight w:val="none"/>
                <w:lang w:val="en-US" w:eastAsia="zh-CN"/>
              </w:rPr>
              <w:t>开放</w:t>
            </w:r>
            <w:r>
              <w:rPr>
                <w:rFonts w:hint="eastAsia" w:ascii="楷体_GB2312" w:hAnsi="Times New Roman" w:eastAsia="楷体_GB2312"/>
                <w:b/>
                <w:bCs/>
                <w:highlight w:val="none"/>
              </w:rPr>
              <w:t>式、非保本、净值型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rFonts w:ascii="楷体_GB2312" w:hAnsi="Times New Roman" w:eastAsia="楷体_GB2312"/>
                <w:b/>
                <w:highlight w:val="none"/>
              </w:rPr>
            </w:pPr>
            <w:r>
              <w:rPr>
                <w:rFonts w:hint="eastAsia" w:ascii="楷体_GB2312" w:hAnsi="Times New Roman" w:eastAsia="楷体_GB2312"/>
                <w:b/>
                <w:highlight w:val="none"/>
              </w:rPr>
              <w:t>产品发行方式</w:t>
            </w:r>
          </w:p>
        </w:tc>
        <w:tc>
          <w:tcPr>
            <w:tcW w:w="6193" w:type="dxa"/>
            <w:vAlign w:val="top"/>
          </w:tcPr>
          <w:p>
            <w:pPr>
              <w:rPr>
                <w:rFonts w:ascii="楷体_GB2312" w:hAnsi="Times New Roman" w:eastAsia="楷体_GB2312"/>
                <w:highlight w:val="none"/>
              </w:rPr>
            </w:pPr>
            <w:r>
              <w:rPr>
                <w:rFonts w:hint="eastAsia" w:ascii="楷体_GB2312" w:hAnsi="Times New Roman" w:eastAsia="楷体_GB2312"/>
                <w:highlight w:val="none"/>
                <w:lang w:val="en-US" w:eastAsia="zh-CN"/>
              </w:rPr>
              <w:t>公</w:t>
            </w:r>
            <w:r>
              <w:rPr>
                <w:rFonts w:hint="eastAsia" w:ascii="楷体_GB2312" w:hAnsi="Times New Roman" w:eastAsia="楷体_GB2312"/>
                <w:highlight w:val="none"/>
              </w:rPr>
              <w:t>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发行人/管理人</w:t>
            </w:r>
          </w:p>
        </w:tc>
        <w:tc>
          <w:tcPr>
            <w:tcW w:w="6193" w:type="dxa"/>
            <w:vAlign w:val="top"/>
          </w:tcPr>
          <w:p>
            <w:pPr>
              <w:rPr>
                <w:highlight w:val="none"/>
              </w:rPr>
            </w:pPr>
            <w:r>
              <w:rPr>
                <w:rFonts w:hint="eastAsia" w:ascii="楷体_GB2312" w:hAnsi="Times New Roman" w:eastAsia="楷体_GB2312"/>
                <w:highlight w:val="none"/>
              </w:rPr>
              <w:t>常熟农商银行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托管人</w:t>
            </w:r>
          </w:p>
        </w:tc>
        <w:tc>
          <w:tcPr>
            <w:tcW w:w="6193" w:type="dxa"/>
            <w:vAlign w:val="top"/>
          </w:tcPr>
          <w:p>
            <w:pPr>
              <w:rPr>
                <w:highlight w:val="none"/>
              </w:rPr>
            </w:pPr>
            <w:r>
              <w:rPr>
                <w:rFonts w:hint="eastAsia" w:ascii="Times New Roman" w:hAnsi="Times New Roman" w:eastAsia="楷体_GB2312"/>
                <w:highlight w:val="none"/>
                <w:lang w:val="en-US" w:eastAsia="zh-CN"/>
              </w:rPr>
              <w:t>宁波银行</w:t>
            </w:r>
            <w:r>
              <w:rPr>
                <w:rFonts w:hint="eastAsia" w:ascii="Times New Roman" w:hAnsi="Times New Roman" w:eastAsia="楷体_GB2312"/>
                <w:highlight w:val="none"/>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募集币种</w:t>
            </w:r>
          </w:p>
        </w:tc>
        <w:tc>
          <w:tcPr>
            <w:tcW w:w="6193" w:type="dxa"/>
            <w:vAlign w:val="top"/>
          </w:tcPr>
          <w:p>
            <w:pPr>
              <w:rPr>
                <w:highlight w:val="none"/>
              </w:rPr>
            </w:pPr>
            <w:r>
              <w:rPr>
                <w:rFonts w:hint="eastAsia" w:ascii="楷体_GB2312" w:hAnsi="Times New Roman" w:eastAsia="楷体_GB2312"/>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29" w:type="dxa"/>
            <w:vAlign w:val="top"/>
          </w:tcPr>
          <w:p>
            <w:pPr>
              <w:rPr>
                <w:highlight w:val="none"/>
              </w:rPr>
            </w:pPr>
            <w:r>
              <w:rPr>
                <w:rFonts w:hint="eastAsia" w:ascii="楷体_GB2312" w:hAnsi="Times New Roman" w:eastAsia="楷体_GB2312"/>
                <w:b/>
                <w:highlight w:val="none"/>
              </w:rPr>
              <w:t>产品单位份额面值</w:t>
            </w:r>
          </w:p>
        </w:tc>
        <w:tc>
          <w:tcPr>
            <w:tcW w:w="6193" w:type="dxa"/>
            <w:vAlign w:val="top"/>
          </w:tcPr>
          <w:p>
            <w:pPr>
              <w:rPr>
                <w:highlight w:val="none"/>
              </w:rPr>
            </w:pPr>
            <w:r>
              <w:rPr>
                <w:rFonts w:hint="eastAsia" w:ascii="楷体_GB2312" w:hAnsi="Times New Roman" w:eastAsia="楷体_GB2312"/>
                <w:highlight w:val="none"/>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产品发行价格</w:t>
            </w:r>
          </w:p>
        </w:tc>
        <w:tc>
          <w:tcPr>
            <w:tcW w:w="6193" w:type="dxa"/>
            <w:vAlign w:val="top"/>
          </w:tcPr>
          <w:p>
            <w:pPr>
              <w:rPr>
                <w:highlight w:val="none"/>
              </w:rPr>
            </w:pPr>
            <w:r>
              <w:rPr>
                <w:rFonts w:hint="eastAsia" w:ascii="楷体_GB2312" w:hAnsi="Times New Roman" w:eastAsia="楷体_GB2312"/>
                <w:highlight w:val="none"/>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楷体_GB2312" w:hAnsi="Times New Roman" w:eastAsia="楷体_GB2312"/>
                <w:b/>
                <w:highlight w:val="none"/>
              </w:rPr>
              <w:t>业绩比较基准</w:t>
            </w:r>
            <w:r>
              <w:rPr>
                <w:rFonts w:hint="eastAsia" w:ascii="楷体_GB2312" w:hAnsi="Times New Roman" w:eastAsia="楷体_GB2312"/>
                <w:b/>
                <w:highlight w:val="none"/>
                <w:lang w:val="en-US" w:eastAsia="zh-CN"/>
              </w:rPr>
              <w:t>(年化)</w:t>
            </w:r>
          </w:p>
        </w:tc>
        <w:tc>
          <w:tcPr>
            <w:tcW w:w="6193" w:type="dxa"/>
            <w:vAlign w:val="top"/>
          </w:tcPr>
          <w:p>
            <w:pPr>
              <w:spacing w:beforeLines="0" w:afterLines="0" w:line="360" w:lineRule="exact"/>
              <w:rPr>
                <w:rFonts w:hint="eastAsia" w:ascii="Times New Roman" w:hAnsi="Times New Roman" w:eastAsia="楷体_GB2312"/>
                <w:b/>
                <w:bCs/>
                <w:color w:val="000000"/>
                <w:highlight w:val="none"/>
                <w:lang w:eastAsia="zh-CN"/>
              </w:rPr>
            </w:pPr>
            <w:r>
              <w:rPr>
                <w:rFonts w:hint="eastAsia" w:ascii="Times New Roman" w:hAnsi="Times New Roman" w:eastAsia="楷体_GB2312"/>
                <w:b/>
                <w:bCs/>
                <w:color w:val="000000"/>
                <w:highlight w:val="none"/>
                <w:lang w:eastAsia="zh-CN"/>
              </w:rPr>
              <w:t>首个投资周期为</w:t>
            </w:r>
            <w:r>
              <w:rPr>
                <w:rFonts w:hint="eastAsia" w:ascii="Times New Roman" w:hAnsi="Times New Roman" w:eastAsia="楷体_GB2312"/>
                <w:b/>
                <w:bCs/>
                <w:color w:val="000000"/>
                <w:szCs w:val="22"/>
                <w:highlight w:val="none"/>
                <w:u w:val="single"/>
                <w:lang w:eastAsia="zh-CN"/>
              </w:rPr>
              <w:t>人民银行一年期定期存款利率（1.50%）+（1.</w:t>
            </w:r>
            <w:r>
              <w:rPr>
                <w:rFonts w:hint="eastAsia" w:ascii="Times New Roman" w:hAnsi="Times New Roman" w:eastAsia="楷体_GB2312"/>
                <w:b/>
                <w:bCs/>
                <w:color w:val="000000"/>
                <w:szCs w:val="22"/>
                <w:highlight w:val="none"/>
                <w:u w:val="single"/>
                <w:lang w:val="en-US" w:eastAsia="zh-CN"/>
              </w:rPr>
              <w:t>5</w:t>
            </w:r>
            <w:r>
              <w:rPr>
                <w:rFonts w:hint="eastAsia" w:ascii="Times New Roman" w:hAnsi="Times New Roman" w:eastAsia="楷体_GB2312"/>
                <w:b/>
                <w:bCs/>
                <w:color w:val="000000"/>
                <w:szCs w:val="22"/>
                <w:highlight w:val="none"/>
                <w:u w:val="single"/>
                <w:lang w:eastAsia="zh-CN"/>
              </w:rPr>
              <w:t>0%</w:t>
            </w:r>
            <w:r>
              <w:rPr>
                <w:rFonts w:hint="eastAsia" w:ascii="Times New Roman" w:hAnsi="Times New Roman" w:eastAsia="楷体_GB2312"/>
                <w:b/>
                <w:bCs/>
                <w:color w:val="000000"/>
                <w:szCs w:val="22"/>
                <w:highlight w:val="none"/>
                <w:u w:val="single"/>
                <w:lang w:val="en-US" w:eastAsia="zh-CN"/>
              </w:rPr>
              <w:t>--5.5</w:t>
            </w:r>
            <w:r>
              <w:rPr>
                <w:rFonts w:hint="eastAsia" w:ascii="Times New Roman" w:hAnsi="Times New Roman" w:eastAsia="楷体_GB2312"/>
                <w:b/>
                <w:bCs/>
                <w:color w:val="000000"/>
                <w:szCs w:val="22"/>
                <w:highlight w:val="none"/>
                <w:u w:val="single"/>
                <w:lang w:eastAsia="zh-CN"/>
              </w:rPr>
              <w:t>0%），即【3%-7%】</w:t>
            </w:r>
            <w:r>
              <w:rPr>
                <w:rFonts w:hint="eastAsia" w:ascii="Times New Roman" w:hAnsi="Times New Roman" w:eastAsia="楷体_GB2312"/>
                <w:b/>
                <w:bCs/>
                <w:color w:val="000000"/>
                <w:szCs w:val="22"/>
                <w:highlight w:val="none"/>
                <w:lang w:eastAsia="zh-CN"/>
              </w:rPr>
              <w:t>。</w:t>
            </w:r>
            <w:r>
              <w:rPr>
                <w:rFonts w:hint="eastAsia" w:ascii="楷体" w:hAnsi="楷体" w:eastAsia="楷体" w:cs="楷体"/>
                <w:b/>
                <w:bCs/>
                <w:color w:val="000000"/>
                <w:highlight w:val="none"/>
                <w:lang w:eastAsia="zh-CN"/>
              </w:rPr>
              <w:t>业绩比较基准由产品管理人依据理财产品的投资范围及比例、投资策略，并综合考量市场环境等因素测算。</w:t>
            </w:r>
          </w:p>
          <w:p>
            <w:pPr>
              <w:spacing w:beforeLines="0" w:afterLines="0" w:line="360" w:lineRule="exact"/>
              <w:rPr>
                <w:rFonts w:hint="eastAsia" w:ascii="Times New Roman" w:hAnsi="Times New Roman" w:eastAsia="楷体_GB2312"/>
                <w:color w:val="000000"/>
                <w:highlight w:val="none"/>
              </w:rPr>
            </w:pPr>
            <w:r>
              <w:rPr>
                <w:rFonts w:hint="eastAsia" w:ascii="Times New Roman" w:hAnsi="Times New Roman" w:eastAsia="楷体_GB2312"/>
                <w:color w:val="000000"/>
                <w:highlight w:val="none"/>
              </w:rPr>
              <w:t>（常熟农商银行</w:t>
            </w:r>
            <w:r>
              <w:rPr>
                <w:rFonts w:hint="eastAsia" w:ascii="Times New Roman" w:hAnsi="Times New Roman" w:eastAsia="楷体_GB2312"/>
                <w:color w:val="000000"/>
                <w:highlight w:val="none"/>
                <w:lang w:eastAsia="zh-CN"/>
              </w:rPr>
              <w:t>有权</w:t>
            </w:r>
            <w:r>
              <w:rPr>
                <w:rFonts w:hint="eastAsia" w:ascii="Times New Roman" w:hAnsi="Times New Roman" w:eastAsia="楷体_GB2312"/>
                <w:color w:val="000000"/>
                <w:highlight w:val="none"/>
              </w:rPr>
              <w:t>根据市场情况对每个投资周期的业绩比较基准进行调整，将于每个</w:t>
            </w:r>
            <w:r>
              <w:rPr>
                <w:rFonts w:hint="eastAsia" w:ascii="Times New Roman" w:hAnsi="Times New Roman" w:eastAsia="楷体_GB2312"/>
                <w:color w:val="000000"/>
                <w:highlight w:val="none"/>
                <w:lang w:eastAsia="zh-CN"/>
              </w:rPr>
              <w:t>赎回</w:t>
            </w:r>
            <w:r>
              <w:rPr>
                <w:rFonts w:hint="eastAsia" w:ascii="Times New Roman" w:hAnsi="Times New Roman" w:eastAsia="楷体_GB2312"/>
                <w:color w:val="000000"/>
                <w:highlight w:val="none"/>
              </w:rPr>
              <w:t>开放期的清算确认日之前在</w:t>
            </w:r>
            <w:r>
              <w:rPr>
                <w:rFonts w:hint="eastAsia" w:ascii="Times New Roman" w:hAnsi="Times New Roman" w:eastAsia="楷体_GB2312"/>
                <w:color w:val="000000"/>
                <w:highlight w:val="none"/>
                <w:lang w:eastAsia="zh-CN"/>
              </w:rPr>
              <w:t>常熟农商</w:t>
            </w:r>
            <w:r>
              <w:rPr>
                <w:rFonts w:hint="eastAsia" w:ascii="Times New Roman" w:hAnsi="Times New Roman" w:eastAsia="楷体_GB2312"/>
                <w:color w:val="000000"/>
                <w:highlight w:val="none"/>
              </w:rPr>
              <w:t>银行官方网站公布该投资周期的业绩比较基准，公布时间不晚于清算确认日之前1个工作日）</w:t>
            </w:r>
          </w:p>
          <w:p>
            <w:pPr>
              <w:spacing w:beforeLines="0" w:afterLines="0" w:line="360" w:lineRule="exact"/>
              <w:rPr>
                <w:rFonts w:hint="eastAsia" w:eastAsia="楷体_GB2312"/>
                <w:color w:val="FF0000"/>
                <w:highlight w:val="none"/>
                <w:lang w:eastAsia="zh-CN"/>
              </w:rPr>
            </w:pPr>
            <w:r>
              <w:rPr>
                <w:rFonts w:ascii="Times New Roman" w:hAnsi="Times New Roman" w:eastAsia="楷体_GB2312"/>
                <w:b/>
                <w:bCs/>
                <w:color w:val="000000"/>
                <w:highlight w:val="none"/>
              </w:rPr>
              <w:t>业绩比较基准的说明：</w:t>
            </w:r>
            <w:r>
              <w:rPr>
                <w:rFonts w:hint="eastAsia" w:ascii="楷体" w:hAnsi="楷体" w:eastAsia="楷体" w:cs="楷体"/>
                <w:b w:val="0"/>
                <w:bCs w:val="0"/>
                <w:color w:val="000000"/>
                <w:highlight w:val="none"/>
                <w:lang w:eastAsia="zh-CN"/>
              </w:rPr>
              <w:t>本产品拟投资资产的比例为</w:t>
            </w:r>
            <w:r>
              <w:rPr>
                <w:rFonts w:hint="eastAsia" w:ascii="楷体" w:hAnsi="楷体" w:eastAsia="楷体" w:cs="楷体"/>
                <w:color w:val="000000"/>
                <w:highlight w:val="none"/>
              </w:rPr>
              <w:t>存款、货币基金等现金类资产 0-30%，债券资产、同业存单、同业拆借、回购、债券基金50-100%，权益类资产0-20%</w:t>
            </w:r>
            <w:r>
              <w:rPr>
                <w:rFonts w:hint="eastAsia" w:ascii="楷体" w:hAnsi="楷体" w:eastAsia="楷体" w:cs="楷体"/>
                <w:b w:val="0"/>
                <w:bCs w:val="0"/>
                <w:color w:val="000000"/>
                <w:highlight w:val="none"/>
                <w:lang w:eastAsia="zh-CN"/>
              </w:rPr>
              <w:t>，杠杆率不超</w:t>
            </w:r>
            <w:r>
              <w:rPr>
                <w:rFonts w:hint="eastAsia" w:ascii="楷体" w:hAnsi="楷体" w:eastAsia="楷体" w:cs="楷体"/>
                <w:b w:val="0"/>
                <w:bCs w:val="0"/>
                <w:color w:val="000000"/>
                <w:highlight w:val="none"/>
                <w:lang w:val="en-US" w:eastAsia="zh-CN"/>
              </w:rPr>
              <w:t>140%</w:t>
            </w:r>
            <w:r>
              <w:rPr>
                <w:rFonts w:hint="eastAsia" w:ascii="楷体" w:hAnsi="楷体" w:eastAsia="楷体" w:cs="楷体"/>
                <w:b w:val="0"/>
                <w:bCs w:val="0"/>
                <w:color w:val="000000"/>
                <w:highlight w:val="none"/>
                <w:lang w:eastAsia="zh-CN"/>
              </w:rPr>
              <w:t>，业绩比较基准参考市场利率水平和中国人民银行最新公布的金融机构人民币</w:t>
            </w:r>
            <w:r>
              <w:rPr>
                <w:rFonts w:hint="eastAsia" w:eastAsia="楷体_GB2312"/>
                <w:color w:val="000000"/>
                <w:highlight w:val="none"/>
              </w:rPr>
              <w:t>一年期定期存款</w:t>
            </w:r>
            <w:r>
              <w:rPr>
                <w:rFonts w:hint="eastAsia" w:eastAsia="楷体_GB2312"/>
                <w:color w:val="000000"/>
                <w:highlight w:val="none"/>
                <w:lang w:val="en-US" w:eastAsia="zh-CN"/>
              </w:rPr>
              <w:t>基准</w:t>
            </w:r>
            <w:r>
              <w:rPr>
                <w:rFonts w:hint="eastAsia" w:eastAsia="楷体_GB2312"/>
                <w:color w:val="000000"/>
                <w:highlight w:val="none"/>
              </w:rPr>
              <w:t>利率</w:t>
            </w:r>
            <w:r>
              <w:rPr>
                <w:rFonts w:hint="eastAsia" w:eastAsia="楷体_GB2312"/>
                <w:color w:val="000000"/>
                <w:highlight w:val="none"/>
                <w:lang w:val="en-US" w:eastAsia="zh-CN"/>
              </w:rPr>
              <w:t>水平</w:t>
            </w:r>
            <w:r>
              <w:rPr>
                <w:rFonts w:hint="eastAsia" w:eastAsia="楷体_GB2312"/>
                <w:color w:val="000000"/>
                <w:highlight w:val="none"/>
              </w:rPr>
              <w:t>，考虑拟投资资产的市场价格表现、波动幅度、在投资组合中的占比，预判在扣除</w:t>
            </w:r>
            <w:r>
              <w:rPr>
                <w:rFonts w:hint="eastAsia" w:eastAsia="楷体_GB2312"/>
                <w:color w:val="000000"/>
                <w:highlight w:val="none"/>
                <w:lang w:val="en-US" w:eastAsia="zh-CN"/>
              </w:rPr>
              <w:t>管理费、托管费等</w:t>
            </w:r>
            <w:r>
              <w:rPr>
                <w:rFonts w:hint="eastAsia" w:eastAsia="楷体_GB2312"/>
                <w:color w:val="000000"/>
                <w:highlight w:val="none"/>
              </w:rPr>
              <w:t>相关费用后产品年化收益较为可能的波动幅度，</w:t>
            </w:r>
            <w:r>
              <w:rPr>
                <w:rFonts w:hint="eastAsia" w:ascii="楷体" w:hAnsi="楷体" w:eastAsia="楷体" w:cs="楷体"/>
                <w:b w:val="0"/>
                <w:bCs w:val="0"/>
                <w:color w:val="000000"/>
                <w:highlight w:val="none"/>
                <w:lang w:eastAsia="zh-CN"/>
              </w:rPr>
              <w:t>并结合产品投资策略进行测算得出</w:t>
            </w:r>
            <w:r>
              <w:rPr>
                <w:rFonts w:hint="eastAsia" w:ascii="楷体" w:hAnsi="楷体" w:eastAsia="楷体" w:cs="楷体"/>
                <w:b w:val="0"/>
                <w:bCs w:val="0"/>
                <w:highlight w:val="none"/>
                <w:lang w:eastAsia="zh-CN"/>
              </w:rPr>
              <w:t>。（</w:t>
            </w:r>
            <w:r>
              <w:rPr>
                <w:rFonts w:hint="eastAsia" w:ascii="楷体" w:hAnsi="楷体" w:eastAsia="楷体" w:cs="楷体"/>
                <w:highlight w:val="none"/>
              </w:rPr>
              <w:t>业绩比较基准测算仅供参考，具体投资</w:t>
            </w:r>
            <w:r>
              <w:rPr>
                <w:rFonts w:hint="eastAsia" w:ascii="楷体" w:hAnsi="楷体" w:eastAsia="楷体" w:cs="楷体"/>
                <w:highlight w:val="none"/>
                <w:lang w:eastAsia="zh-CN"/>
              </w:rPr>
              <w:t>比</w:t>
            </w:r>
            <w:r>
              <w:rPr>
                <w:rFonts w:hint="eastAsia" w:ascii="楷体" w:hAnsi="楷体" w:eastAsia="楷体" w:cs="楷体"/>
                <w:highlight w:val="none"/>
              </w:rPr>
              <w:t>例可根据各类</w:t>
            </w:r>
            <w:r>
              <w:rPr>
                <w:rFonts w:hint="eastAsia" w:ascii="楷体" w:hAnsi="楷体" w:eastAsia="楷体" w:cs="楷体"/>
                <w:highlight w:val="none"/>
                <w:lang w:eastAsia="zh-CN"/>
              </w:rPr>
              <w:t>资</w:t>
            </w:r>
            <w:r>
              <w:rPr>
                <w:rFonts w:hint="eastAsia" w:ascii="楷体" w:hAnsi="楷体" w:eastAsia="楷体" w:cs="楷体"/>
                <w:highlight w:val="none"/>
              </w:rPr>
              <w:t>产的收益水平、流动性特征、信用风险等因素</w:t>
            </w:r>
            <w:r>
              <w:rPr>
                <w:rFonts w:hint="eastAsia" w:ascii="楷体" w:hAnsi="楷体" w:eastAsia="楷体" w:cs="楷体"/>
                <w:highlight w:val="none"/>
                <w:lang w:eastAsia="zh-CN"/>
              </w:rPr>
              <w:t>动</w:t>
            </w:r>
            <w:r>
              <w:rPr>
                <w:rFonts w:hint="eastAsia" w:ascii="楷体" w:hAnsi="楷体" w:eastAsia="楷体" w:cs="楷体"/>
                <w:highlight w:val="none"/>
              </w:rPr>
              <w:t>态调整，投资范围、投资策略详见以下</w:t>
            </w:r>
            <w:r>
              <w:rPr>
                <w:rFonts w:hint="eastAsia" w:ascii="楷体" w:hAnsi="楷体" w:eastAsia="楷体" w:cs="楷体"/>
                <w:highlight w:val="none"/>
                <w:lang w:eastAsia="zh-CN"/>
              </w:rPr>
              <w:t>“</w:t>
            </w:r>
            <w:r>
              <w:rPr>
                <w:rFonts w:hint="eastAsia" w:ascii="楷体" w:hAnsi="楷体" w:eastAsia="楷体" w:cs="楷体"/>
                <w:highlight w:val="none"/>
              </w:rPr>
              <w:t>产品的投资范围和投资策略</w:t>
            </w:r>
            <w:r>
              <w:rPr>
                <w:rFonts w:hint="eastAsia" w:ascii="楷体" w:hAnsi="楷体" w:eastAsia="楷体" w:cs="楷体"/>
                <w:highlight w:val="none"/>
                <w:lang w:eastAsia="zh-CN"/>
              </w:rPr>
              <w:t>”</w:t>
            </w:r>
            <w:r>
              <w:rPr>
                <w:rFonts w:hint="eastAsia" w:ascii="楷体" w:hAnsi="楷体" w:eastAsia="楷体" w:cs="楷体"/>
                <w:b w:val="0"/>
                <w:bCs w:val="0"/>
                <w:highlight w:val="none"/>
                <w:lang w:eastAsia="zh-CN"/>
              </w:rPr>
              <w:t>）</w:t>
            </w:r>
          </w:p>
          <w:p>
            <w:pPr>
              <w:spacing w:beforeLines="0" w:afterLines="0" w:line="360" w:lineRule="exact"/>
              <w:rPr>
                <w:rFonts w:ascii="楷体_GB2312" w:hAnsi="Times New Roman" w:eastAsia="楷体_GB2312"/>
                <w:highlight w:val="none"/>
              </w:rPr>
            </w:pPr>
            <w:r>
              <w:rPr>
                <w:rFonts w:hint="eastAsia" w:ascii="Times New Roman" w:hAnsi="Times New Roman" w:eastAsia="楷体_GB2312"/>
                <w:b/>
                <w:highlight w:val="none"/>
              </w:rPr>
              <w:t>本产品为净值型产品，其业绩表现将随市场波动，具有不确定性</w:t>
            </w:r>
            <w:r>
              <w:rPr>
                <w:rFonts w:hint="eastAsia" w:ascii="Times New Roman" w:hAnsi="Times New Roman" w:eastAsia="楷体_GB2312"/>
                <w:b/>
                <w:highlight w:val="none"/>
                <w:lang w:eastAsia="zh-CN"/>
              </w:rPr>
              <w:t>。</w:t>
            </w:r>
            <w:r>
              <w:rPr>
                <w:rFonts w:hint="eastAsia" w:ascii="楷体" w:hAnsi="楷体" w:eastAsia="楷体" w:cs="楷体"/>
                <w:b/>
                <w:bCs/>
                <w:highlight w:val="none"/>
                <w:lang w:eastAsia="zh-CN"/>
              </w:rPr>
              <w:t>本产品业绩比较基准是产品管理人基于产品性质、投资策略、过往经验等因素对产品设定的投资目标，不代表本产品的未来表现和实际收益</w:t>
            </w:r>
            <w:r>
              <w:rPr>
                <w:rFonts w:hint="eastAsia" w:ascii="Times New Roman" w:hAnsi="Times New Roman" w:eastAsia="楷体_GB2312"/>
                <w:b/>
                <w:bCs/>
                <w:highlight w:val="none"/>
              </w:rPr>
              <w:t>，</w:t>
            </w:r>
            <w:r>
              <w:rPr>
                <w:rFonts w:hint="eastAsia" w:ascii="Times New Roman" w:hAnsi="Times New Roman" w:eastAsia="楷体_GB2312"/>
                <w:b/>
                <w:highlight w:val="none"/>
              </w:rPr>
              <w:t>不构成常熟农商银行对本理财产品投资收益的承诺。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楷体_GB2312" w:hAnsi="Times New Roman" w:eastAsia="楷体_GB2312"/>
                <w:b/>
                <w:highlight w:val="none"/>
              </w:rPr>
              <w:t>产品内部风险评级</w:t>
            </w:r>
          </w:p>
        </w:tc>
        <w:tc>
          <w:tcPr>
            <w:tcW w:w="6193" w:type="dxa"/>
            <w:vAlign w:val="top"/>
          </w:tcPr>
          <w:p>
            <w:pPr>
              <w:rPr>
                <w:rFonts w:ascii="楷体_GB2312" w:hAnsi="Times New Roman" w:eastAsia="楷体_GB2312"/>
                <w:highlight w:val="none"/>
              </w:rPr>
            </w:pPr>
            <w:r>
              <w:rPr>
                <w:rFonts w:hint="eastAsia" w:ascii="楷体_GB2312" w:hAnsi="Times New Roman" w:eastAsia="楷体_GB2312"/>
                <w:highlight w:val="none"/>
              </w:rPr>
              <w:t>根据常熟农商银行内部风险评级标准，本产品的风险等级为</w:t>
            </w:r>
            <w:r>
              <w:rPr>
                <w:rFonts w:hint="eastAsia" w:ascii="楷体_GB2312" w:hAnsi="Times New Roman" w:eastAsia="楷体_GB2312"/>
                <w:b/>
                <w:bCs/>
                <w:highlight w:val="none"/>
                <w:lang w:eastAsia="zh-CN"/>
              </w:rPr>
              <w:t>三</w:t>
            </w:r>
            <w:r>
              <w:rPr>
                <w:rFonts w:hint="eastAsia" w:ascii="楷体_GB2312" w:hAnsi="Times New Roman" w:eastAsia="楷体_GB2312"/>
                <w:b/>
                <w:bCs/>
                <w:highlight w:val="none"/>
              </w:rPr>
              <w:t>级</w:t>
            </w:r>
            <w:r>
              <w:rPr>
                <w:rFonts w:hint="eastAsia" w:ascii="楷体_GB2312" w:hAnsi="Times New Roman" w:eastAsia="楷体_GB2312"/>
                <w:highlight w:val="none"/>
              </w:rPr>
              <w:t>。该评级仅是常熟农商银行内部测评结果，仅供客户参考，不具有任何法律约束力。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Times New Roman" w:hAnsi="Times New Roman" w:eastAsia="楷体_GB2312"/>
                <w:b/>
                <w:highlight w:val="none"/>
              </w:rPr>
              <w:t>募集对象</w:t>
            </w:r>
          </w:p>
        </w:tc>
        <w:tc>
          <w:tcPr>
            <w:tcW w:w="6193" w:type="dxa"/>
            <w:vAlign w:val="top"/>
          </w:tcPr>
          <w:p>
            <w:pPr>
              <w:spacing w:line="360" w:lineRule="exact"/>
              <w:ind w:firstLine="0" w:firstLineChars="0"/>
              <w:rPr>
                <w:rFonts w:ascii="楷体_GB2312" w:hAnsi="Times New Roman" w:eastAsia="楷体_GB2312"/>
                <w:highlight w:val="none"/>
              </w:rPr>
            </w:pPr>
            <w:r>
              <w:rPr>
                <w:rFonts w:hint="eastAsia" w:ascii="Times New Roman" w:hAnsi="Times New Roman" w:eastAsia="楷体_GB2312"/>
                <w:sz w:val="21"/>
                <w:highlight w:val="none"/>
                <w:u w:val="none"/>
                <w:lang w:val="en-US" w:eastAsia="zh-CN"/>
              </w:rPr>
              <w:t>经常熟农商银行风险承受能力评估为</w:t>
            </w:r>
            <w:r>
              <w:rPr>
                <w:rFonts w:hint="eastAsia" w:ascii="Times New Roman" w:hAnsi="Times New Roman" w:eastAsia="楷体_GB2312"/>
                <w:b/>
                <w:bCs/>
                <w:sz w:val="21"/>
                <w:highlight w:val="none"/>
                <w:u w:val="none"/>
                <w:lang w:val="en-US" w:eastAsia="zh-CN"/>
              </w:rPr>
              <w:t>稳健型、进取型、积极进取型的</w:t>
            </w:r>
            <w:r>
              <w:rPr>
                <w:rFonts w:hint="eastAsia" w:eastAsia="楷体_GB2312"/>
                <w:b/>
                <w:bCs/>
                <w:highlight w:val="none"/>
              </w:rPr>
              <w:t>个人及机构投资者</w:t>
            </w:r>
            <w:r>
              <w:rPr>
                <w:rFonts w:hint="eastAsia" w:ascii="Times New Roman" w:hAnsi="Times New Roman" w:eastAsia="楷体_GB2312"/>
                <w:b/>
                <w:bCs/>
                <w:sz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楷体_GB2312" w:hAnsi="Times New Roman" w:eastAsia="楷体_GB2312"/>
                <w:b/>
                <w:highlight w:val="none"/>
              </w:rPr>
              <w:t>产品募集规模</w:t>
            </w:r>
          </w:p>
        </w:tc>
        <w:tc>
          <w:tcPr>
            <w:tcW w:w="6193" w:type="dxa"/>
            <w:vAlign w:val="top"/>
          </w:tcPr>
          <w:p>
            <w:pPr>
              <w:rPr>
                <w:highlight w:val="none"/>
              </w:rPr>
            </w:pPr>
            <w:r>
              <w:rPr>
                <w:rFonts w:hint="eastAsia" w:ascii="楷体_GB2312" w:hAnsi="Times New Roman" w:eastAsia="楷体_GB2312"/>
                <w:highlight w:val="none"/>
              </w:rPr>
              <w:t>募集下限是0.</w:t>
            </w:r>
            <w:r>
              <w:rPr>
                <w:rFonts w:hint="eastAsia" w:ascii="楷体_GB2312" w:hAnsi="Times New Roman" w:eastAsia="楷体_GB2312"/>
                <w:highlight w:val="none"/>
                <w:lang w:val="en-US" w:eastAsia="zh-CN"/>
              </w:rPr>
              <w:t>2</w:t>
            </w:r>
            <w:r>
              <w:rPr>
                <w:rFonts w:hint="eastAsia" w:ascii="楷体_GB2312" w:hAnsi="Times New Roman" w:eastAsia="楷体_GB2312"/>
                <w:highlight w:val="none"/>
              </w:rPr>
              <w:t>亿元，募集上限是</w:t>
            </w:r>
            <w:r>
              <w:rPr>
                <w:rFonts w:hint="eastAsia" w:ascii="楷体_GB2312" w:hAnsi="Times New Roman" w:eastAsia="楷体_GB2312"/>
                <w:color w:val="auto"/>
                <w:highlight w:val="none"/>
                <w:lang w:val="en-US" w:eastAsia="zh-CN"/>
              </w:rPr>
              <w:t>10</w:t>
            </w:r>
            <w:r>
              <w:rPr>
                <w:rFonts w:hint="eastAsia" w:ascii="楷体_GB2312" w:hAnsi="Times New Roman" w:eastAsia="楷体_GB2312"/>
                <w:color w:val="auto"/>
                <w:highlight w:val="none"/>
              </w:rPr>
              <w:t>亿</w:t>
            </w:r>
            <w:r>
              <w:rPr>
                <w:rFonts w:hint="eastAsia" w:ascii="楷体_GB2312" w:hAnsi="Times New Roman" w:eastAsia="楷体_GB2312"/>
                <w:highlight w:val="none"/>
              </w:rPr>
              <w:t>元，若募集金额未达募集下限,管理人有权选择产品不成立，若募集金额超出募集上限，管理人有权暂停接受认购申请。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highlight w:val="none"/>
              </w:rPr>
              <w:t>募集期</w:t>
            </w:r>
          </w:p>
        </w:tc>
        <w:tc>
          <w:tcPr>
            <w:tcW w:w="6193" w:type="dxa"/>
            <w:vAlign w:val="top"/>
          </w:tcPr>
          <w:p>
            <w:pPr>
              <w:spacing w:line="360" w:lineRule="exact"/>
              <w:rPr>
                <w:rFonts w:hint="eastAsia" w:ascii="Times New Roman" w:hAnsi="Times New Roman" w:eastAsia="楷体_GB2312"/>
                <w:sz w:val="21"/>
                <w:highlight w:val="none"/>
              </w:rPr>
            </w:pPr>
            <w:r>
              <w:rPr>
                <w:rFonts w:hint="eastAsia" w:eastAsia="楷体_GB2312"/>
                <w:bCs/>
                <w:szCs w:val="21"/>
                <w:highlight w:val="none"/>
                <w:u w:val="single"/>
              </w:rPr>
              <w:t>20</w:t>
            </w:r>
            <w:r>
              <w:rPr>
                <w:rFonts w:hint="eastAsia" w:eastAsia="楷体_GB2312"/>
                <w:bCs/>
                <w:szCs w:val="21"/>
                <w:highlight w:val="none"/>
                <w:u w:val="single"/>
                <w:lang w:val="en-US" w:eastAsia="zh-CN"/>
              </w:rPr>
              <w:t>20</w:t>
            </w:r>
            <w:r>
              <w:rPr>
                <w:rFonts w:hint="eastAsia" w:eastAsia="楷体_GB2312"/>
                <w:bCs/>
                <w:szCs w:val="21"/>
                <w:highlight w:val="none"/>
                <w:u w:val="single"/>
              </w:rPr>
              <w:t>年</w:t>
            </w:r>
            <w:r>
              <w:rPr>
                <w:rFonts w:hint="eastAsia" w:eastAsia="楷体_GB2312"/>
                <w:bCs/>
                <w:szCs w:val="21"/>
                <w:highlight w:val="none"/>
                <w:u w:val="single"/>
                <w:lang w:val="en-US" w:eastAsia="zh-CN"/>
              </w:rPr>
              <w:t>8</w:t>
            </w:r>
            <w:r>
              <w:rPr>
                <w:rFonts w:hint="eastAsia" w:eastAsia="楷体_GB2312"/>
                <w:bCs/>
                <w:szCs w:val="21"/>
                <w:highlight w:val="none"/>
                <w:u w:val="single"/>
              </w:rPr>
              <w:t>月</w:t>
            </w:r>
            <w:r>
              <w:rPr>
                <w:rFonts w:hint="eastAsia" w:eastAsia="楷体_GB2312"/>
                <w:bCs/>
                <w:szCs w:val="21"/>
                <w:highlight w:val="none"/>
                <w:u w:val="single"/>
                <w:lang w:val="en-US" w:eastAsia="zh-CN"/>
              </w:rPr>
              <w:t>28</w:t>
            </w:r>
            <w:r>
              <w:rPr>
                <w:rFonts w:hint="eastAsia" w:eastAsia="楷体_GB2312"/>
                <w:bCs/>
                <w:szCs w:val="21"/>
                <w:highlight w:val="none"/>
                <w:u w:val="single"/>
              </w:rPr>
              <w:t>日</w:t>
            </w:r>
            <w:r>
              <w:rPr>
                <w:rFonts w:hint="eastAsia" w:ascii="Times New Roman" w:hAnsi="Times New Roman" w:eastAsia="楷体_GB2312"/>
                <w:sz w:val="21"/>
                <w:highlight w:val="none"/>
                <w:u w:val="single"/>
              </w:rPr>
              <w:t>8:30至</w:t>
            </w:r>
            <w:r>
              <w:rPr>
                <w:rFonts w:hint="eastAsia" w:eastAsia="楷体_GB2312"/>
                <w:szCs w:val="21"/>
                <w:highlight w:val="none"/>
                <w:u w:val="single"/>
              </w:rPr>
              <w:t>20</w:t>
            </w:r>
            <w:r>
              <w:rPr>
                <w:rFonts w:hint="eastAsia" w:eastAsia="楷体_GB2312"/>
                <w:szCs w:val="21"/>
                <w:highlight w:val="none"/>
                <w:u w:val="single"/>
                <w:lang w:val="en-US" w:eastAsia="zh-CN"/>
              </w:rPr>
              <w:t>20</w:t>
            </w:r>
            <w:r>
              <w:rPr>
                <w:rFonts w:hint="eastAsia" w:eastAsia="楷体_GB2312"/>
                <w:szCs w:val="21"/>
                <w:highlight w:val="none"/>
                <w:u w:val="single"/>
              </w:rPr>
              <w:t xml:space="preserve"> 年</w:t>
            </w:r>
            <w:r>
              <w:rPr>
                <w:rFonts w:hint="eastAsia" w:eastAsia="楷体_GB2312"/>
                <w:szCs w:val="21"/>
                <w:highlight w:val="none"/>
                <w:u w:val="single"/>
                <w:lang w:val="en-US" w:eastAsia="zh-CN"/>
              </w:rPr>
              <w:t>9</w:t>
            </w:r>
            <w:r>
              <w:rPr>
                <w:rFonts w:hint="eastAsia" w:eastAsia="楷体_GB2312"/>
                <w:szCs w:val="21"/>
                <w:highlight w:val="none"/>
                <w:u w:val="single"/>
              </w:rPr>
              <w:t>月</w:t>
            </w:r>
            <w:r>
              <w:rPr>
                <w:rFonts w:hint="eastAsia" w:eastAsia="楷体_GB2312"/>
                <w:szCs w:val="21"/>
                <w:highlight w:val="none"/>
                <w:u w:val="single"/>
                <w:lang w:val="en-US" w:eastAsia="zh-CN"/>
              </w:rPr>
              <w:t>7</w:t>
            </w:r>
            <w:r>
              <w:rPr>
                <w:rFonts w:hint="eastAsia" w:eastAsia="楷体_GB2312"/>
                <w:szCs w:val="21"/>
                <w:highlight w:val="none"/>
                <w:u w:val="single"/>
              </w:rPr>
              <w:t>日</w:t>
            </w:r>
            <w:r>
              <w:rPr>
                <w:rFonts w:hint="eastAsia" w:ascii="Times New Roman" w:hAnsi="Times New Roman" w:eastAsia="楷体_GB2312"/>
                <w:sz w:val="21"/>
                <w:highlight w:val="none"/>
                <w:u w:val="single"/>
              </w:rPr>
              <w:t>20:30</w:t>
            </w:r>
            <w:r>
              <w:rPr>
                <w:rFonts w:hint="eastAsia" w:ascii="Times New Roman" w:hAnsi="Times New Roman" w:eastAsia="楷体_GB2312"/>
                <w:sz w:val="21"/>
                <w:highlight w:val="none"/>
              </w:rPr>
              <w:t>（以银行系统时间为准）</w:t>
            </w:r>
          </w:p>
          <w:p>
            <w:pPr>
              <w:rPr>
                <w:highlight w:val="none"/>
              </w:rPr>
            </w:pPr>
            <w:r>
              <w:rPr>
                <w:rFonts w:hint="eastAsia" w:ascii="Times New Roman" w:hAnsi="Times New Roman" w:eastAsia="楷体_GB2312"/>
                <w:highlight w:val="none"/>
              </w:rPr>
              <w:t>为保护客户利益，常熟农商银行有权根据市场情况变化缩短或延长募集期并提前或推迟成立，产品提前或推迟成立时，常熟农商银行将调整相关日期并进行信息披露。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Times New Roman" w:hAnsi="Times New Roman" w:eastAsia="楷体_GB2312"/>
                <w:b/>
                <w:bCs/>
                <w:highlight w:val="none"/>
              </w:rPr>
            </w:pPr>
            <w:r>
              <w:rPr>
                <w:rFonts w:hint="eastAsia" w:ascii="Times New Roman" w:hAnsi="Times New Roman" w:eastAsia="楷体_GB2312"/>
                <w:b/>
                <w:bCs/>
                <w:highlight w:val="none"/>
              </w:rPr>
              <w:t>募集期的利息计算</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highlight w:val="none"/>
              </w:rPr>
              <w:t>募集期内，投资者理财资金冻结在投资者的指定账户，并在产品成立日统一扣收。</w:t>
            </w:r>
          </w:p>
          <w:p>
            <w:pPr>
              <w:rPr>
                <w:rFonts w:ascii="Times New Roman" w:hAnsi="Times New Roman" w:eastAsia="楷体_GB2312"/>
                <w:highlight w:val="none"/>
              </w:rPr>
            </w:pPr>
            <w:r>
              <w:rPr>
                <w:rFonts w:hint="eastAsia" w:ascii="Times New Roman" w:hAnsi="Times New Roman" w:eastAsia="楷体_GB2312"/>
                <w:highlight w:val="none"/>
              </w:rPr>
              <w:t>投资者理财资金在产品成立日之前按常熟农商银行公布的人民币活期储蓄存款利率计息，该等利息不作为认购资金扣收。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bCs/>
                <w:highlight w:val="none"/>
              </w:rPr>
              <w:t>份额登记日/产品成立日</w:t>
            </w:r>
          </w:p>
        </w:tc>
        <w:tc>
          <w:tcPr>
            <w:tcW w:w="6193" w:type="dxa"/>
            <w:vAlign w:val="top"/>
          </w:tcPr>
          <w:p>
            <w:pPr>
              <w:spacing w:line="360" w:lineRule="exact"/>
              <w:ind w:firstLine="0" w:firstLineChars="0"/>
              <w:rPr>
                <w:rFonts w:hint="eastAsia" w:ascii="Times New Roman" w:hAnsi="Times New Roman" w:eastAsia="楷体_GB2312"/>
                <w:highlight w:val="none"/>
                <w:lang w:eastAsia="zh-CN"/>
              </w:rPr>
            </w:pPr>
            <w:r>
              <w:rPr>
                <w:rFonts w:hint="eastAsia" w:eastAsia="楷体_GB2312"/>
                <w:bCs/>
                <w:szCs w:val="21"/>
                <w:highlight w:val="none"/>
                <w:u w:val="single"/>
              </w:rPr>
              <w:t>20</w:t>
            </w:r>
            <w:r>
              <w:rPr>
                <w:rFonts w:hint="eastAsia" w:eastAsia="楷体_GB2312"/>
                <w:bCs/>
                <w:szCs w:val="21"/>
                <w:highlight w:val="none"/>
                <w:u w:val="single"/>
                <w:lang w:val="en-US" w:eastAsia="zh-CN"/>
              </w:rPr>
              <w:t>20</w:t>
            </w:r>
            <w:r>
              <w:rPr>
                <w:rFonts w:hint="eastAsia" w:eastAsia="楷体_GB2312"/>
                <w:bCs/>
                <w:szCs w:val="21"/>
                <w:highlight w:val="none"/>
                <w:u w:val="single"/>
              </w:rPr>
              <w:t>年</w:t>
            </w:r>
            <w:r>
              <w:rPr>
                <w:rFonts w:hint="eastAsia" w:eastAsia="楷体_GB2312"/>
                <w:bCs/>
                <w:szCs w:val="21"/>
                <w:highlight w:val="none"/>
                <w:u w:val="single"/>
                <w:lang w:val="en-US" w:eastAsia="zh-CN"/>
              </w:rPr>
              <w:t>9</w:t>
            </w:r>
            <w:r>
              <w:rPr>
                <w:rFonts w:hint="eastAsia" w:eastAsia="楷体_GB2312"/>
                <w:bCs/>
                <w:szCs w:val="21"/>
                <w:highlight w:val="none"/>
                <w:u w:val="single"/>
              </w:rPr>
              <w:t>月</w:t>
            </w:r>
            <w:r>
              <w:rPr>
                <w:rFonts w:hint="eastAsia" w:eastAsia="楷体_GB2312"/>
                <w:bCs/>
                <w:szCs w:val="21"/>
                <w:highlight w:val="none"/>
                <w:u w:val="single"/>
                <w:lang w:val="en-US" w:eastAsia="zh-CN"/>
              </w:rPr>
              <w:t>8</w:t>
            </w:r>
            <w:r>
              <w:rPr>
                <w:rFonts w:hint="eastAsia" w:eastAsia="楷体_GB2312"/>
                <w:bCs/>
                <w:szCs w:val="21"/>
                <w:highlight w:val="none"/>
                <w:u w:val="single"/>
              </w:rPr>
              <w:t>日</w:t>
            </w:r>
            <w:r>
              <w:rPr>
                <w:rFonts w:hint="eastAsia" w:ascii="Times New Roman" w:hAnsi="Times New Roman" w:eastAsia="楷体_GB2312"/>
                <w:highlight w:val="none"/>
                <w:lang w:eastAsia="zh-CN"/>
              </w:rPr>
              <w:t>。</w:t>
            </w:r>
          </w:p>
          <w:p>
            <w:pPr>
              <w:spacing w:line="360" w:lineRule="exact"/>
              <w:ind w:firstLine="0" w:firstLineChars="0"/>
              <w:rPr>
                <w:rFonts w:hint="eastAsia" w:ascii="Times New Roman" w:hAnsi="Times New Roman" w:eastAsia="楷体_GB2312"/>
                <w:highlight w:val="none"/>
              </w:rPr>
            </w:pPr>
            <w:r>
              <w:rPr>
                <w:rFonts w:hint="eastAsia" w:ascii="Times New Roman" w:hAnsi="Times New Roman" w:eastAsia="楷体_GB2312"/>
                <w:highlight w:val="none"/>
              </w:rPr>
              <w:t>募集期结束，若募集资金达到募集下限，则理财产品成立；否则，管理人有权选择理财产品不成立。</w:t>
            </w:r>
          </w:p>
          <w:p>
            <w:pPr>
              <w:rPr>
                <w:rFonts w:ascii="Times New Roman" w:hAnsi="Times New Roman" w:eastAsia="楷体_GB2312"/>
                <w:highlight w:val="none"/>
              </w:rPr>
            </w:pPr>
            <w:r>
              <w:rPr>
                <w:rFonts w:hint="eastAsia" w:ascii="Times New Roman" w:hAnsi="Times New Roman" w:eastAsia="楷体_GB2312"/>
                <w:highlight w:val="none"/>
              </w:rPr>
              <w:t>若理财产品不成立，认购资金于原定产品成立日扣划后当日返还至投资者指定账户。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highlight w:val="none"/>
              </w:rPr>
              <w:t>产品到期日</w:t>
            </w:r>
          </w:p>
        </w:tc>
        <w:tc>
          <w:tcPr>
            <w:tcW w:w="6193" w:type="dxa"/>
            <w:vAlign w:val="top"/>
          </w:tcPr>
          <w:p>
            <w:pPr>
              <w:rPr>
                <w:highlight w:val="none"/>
              </w:rPr>
            </w:pPr>
            <w:r>
              <w:rPr>
                <w:rFonts w:hint="eastAsia" w:eastAsia="楷体_GB2312"/>
                <w:bCs/>
                <w:szCs w:val="21"/>
                <w:highlight w:val="none"/>
                <w:u w:val="single"/>
              </w:rPr>
              <w:t>202</w:t>
            </w:r>
            <w:r>
              <w:rPr>
                <w:rFonts w:hint="eastAsia" w:eastAsia="楷体_GB2312"/>
                <w:bCs/>
                <w:szCs w:val="21"/>
                <w:highlight w:val="none"/>
                <w:u w:val="single"/>
                <w:lang w:val="en-US" w:eastAsia="zh-CN"/>
              </w:rPr>
              <w:t>6</w:t>
            </w:r>
            <w:r>
              <w:rPr>
                <w:rFonts w:hint="eastAsia" w:eastAsia="楷体_GB2312"/>
                <w:bCs/>
                <w:szCs w:val="21"/>
                <w:highlight w:val="none"/>
                <w:u w:val="single"/>
              </w:rPr>
              <w:t>年</w:t>
            </w:r>
            <w:r>
              <w:rPr>
                <w:rFonts w:hint="eastAsia" w:eastAsia="楷体_GB2312"/>
                <w:bCs/>
                <w:szCs w:val="21"/>
                <w:highlight w:val="none"/>
                <w:u w:val="single"/>
                <w:lang w:val="en-US" w:eastAsia="zh-CN"/>
              </w:rPr>
              <w:t>2</w:t>
            </w:r>
            <w:r>
              <w:rPr>
                <w:rFonts w:hint="eastAsia" w:eastAsia="楷体_GB2312"/>
                <w:bCs/>
                <w:szCs w:val="21"/>
                <w:highlight w:val="none"/>
                <w:u w:val="single"/>
              </w:rPr>
              <w:t>月</w:t>
            </w:r>
            <w:r>
              <w:rPr>
                <w:rFonts w:hint="eastAsia" w:eastAsia="楷体_GB2312"/>
                <w:bCs/>
                <w:szCs w:val="21"/>
                <w:highlight w:val="none"/>
                <w:u w:val="single"/>
                <w:lang w:val="en-US" w:eastAsia="zh-CN"/>
              </w:rPr>
              <w:t>10</w:t>
            </w:r>
            <w:r>
              <w:rPr>
                <w:rFonts w:hint="eastAsia" w:eastAsia="楷体_GB2312"/>
                <w:bCs/>
                <w:szCs w:val="21"/>
                <w:highlight w:val="none"/>
                <w:u w:val="single"/>
              </w:rPr>
              <w:t>日</w:t>
            </w:r>
            <w:r>
              <w:rPr>
                <w:rFonts w:hint="eastAsia" w:ascii="Times New Roman" w:hAnsi="Times New Roman" w:eastAsia="楷体_GB2312"/>
                <w:highlight w:val="none"/>
                <w:lang w:val="en-US" w:eastAsia="zh-CN"/>
              </w:rPr>
              <w:t>（如当天为非工作日，则顺延至下一个工作日）。可公告延期。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highlight w:val="none"/>
              </w:rPr>
              <w:t>产品兑付日</w:t>
            </w:r>
          </w:p>
        </w:tc>
        <w:tc>
          <w:tcPr>
            <w:tcW w:w="6193" w:type="dxa"/>
            <w:vAlign w:val="top"/>
          </w:tcPr>
          <w:p>
            <w:pPr>
              <w:rPr>
                <w:highlight w:val="none"/>
              </w:rPr>
            </w:pPr>
            <w:r>
              <w:rPr>
                <w:rFonts w:hint="eastAsia" w:ascii="Times New Roman" w:hAnsi="Times New Roman" w:eastAsia="楷体_GB2312"/>
                <w:highlight w:val="none"/>
              </w:rPr>
              <w:t>本产品本金与收益（如有）将于产品到期日或提前终止日后一次性支付，最迟于产品清算完成后两个工作日内到账。产品到期日/提前终止日至资金到账日期间，客户资金不计付利息。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kern w:val="0"/>
                <w:highlight w:val="none"/>
              </w:rPr>
            </w:pPr>
            <w:r>
              <w:rPr>
                <w:rFonts w:hint="eastAsia" w:ascii="Times New Roman" w:hAnsi="Times New Roman" w:eastAsia="楷体_GB2312"/>
                <w:b/>
                <w:highlight w:val="none"/>
              </w:rPr>
              <w:t>认购</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highlight w:val="none"/>
              </w:rPr>
              <w:t>指在本产品募集期内，投资者按产品合同约定申请购买本产品的行为。</w:t>
            </w:r>
          </w:p>
          <w:p>
            <w:pPr>
              <w:rPr>
                <w:rFonts w:ascii="Times New Roman" w:hAnsi="Times New Roman" w:eastAsia="楷体_GB2312"/>
                <w:highlight w:val="none"/>
              </w:rPr>
            </w:pPr>
            <w:r>
              <w:rPr>
                <w:rFonts w:hint="eastAsia" w:ascii="Times New Roman" w:hAnsi="Times New Roman" w:eastAsia="楷体_GB2312"/>
                <w:highlight w:val="none"/>
              </w:rPr>
              <w:t>募集期内允许认购撤单。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rFonts w:hint="eastAsia" w:ascii="Times New Roman" w:hAnsi="Times New Roman" w:eastAsia="楷体_GB2312"/>
                <w:b/>
                <w:bCs/>
                <w:highlight w:val="none"/>
              </w:rPr>
            </w:pPr>
            <w:r>
              <w:rPr>
                <w:rFonts w:hint="eastAsia" w:ascii="Times New Roman" w:hAnsi="Times New Roman" w:eastAsia="楷体_GB2312"/>
                <w:b/>
                <w:bCs w:val="0"/>
                <w:sz w:val="21"/>
                <w:highlight w:val="none"/>
                <w:lang w:val="en-US" w:eastAsia="zh-CN"/>
              </w:rPr>
              <w:t>申购</w:t>
            </w:r>
          </w:p>
        </w:tc>
        <w:tc>
          <w:tcPr>
            <w:tcW w:w="6193" w:type="dxa"/>
            <w:vAlign w:val="top"/>
          </w:tcPr>
          <w:p>
            <w:pPr>
              <w:rPr>
                <w:rFonts w:hint="eastAsia" w:ascii="Times New Roman" w:hAnsi="Times New Roman" w:eastAsia="楷体_GB2312" w:cs="Times New Roman"/>
                <w:szCs w:val="21"/>
                <w:highlight w:val="none"/>
                <w:lang w:val="en-US" w:eastAsia="zh-CN"/>
              </w:rPr>
            </w:pPr>
            <w:r>
              <w:rPr>
                <w:rFonts w:hint="eastAsia" w:ascii="Times New Roman" w:hAnsi="Times New Roman" w:eastAsia="楷体_GB2312"/>
                <w:sz w:val="21"/>
                <w:highlight w:val="none"/>
                <w:u w:val="none"/>
              </w:rPr>
              <w:t>指在</w:t>
            </w:r>
            <w:r>
              <w:rPr>
                <w:rFonts w:hint="eastAsia" w:ascii="Times New Roman" w:hAnsi="Times New Roman" w:eastAsia="楷体_GB2312"/>
                <w:sz w:val="21"/>
                <w:highlight w:val="none"/>
                <w:u w:val="none"/>
                <w:lang w:val="en-US" w:eastAsia="zh-CN"/>
              </w:rPr>
              <w:t>本</w:t>
            </w:r>
            <w:r>
              <w:rPr>
                <w:rFonts w:hint="eastAsia" w:ascii="Times New Roman" w:hAnsi="Times New Roman" w:eastAsia="楷体_GB2312"/>
                <w:sz w:val="21"/>
                <w:highlight w:val="none"/>
                <w:u w:val="none"/>
              </w:rPr>
              <w:t>产品</w:t>
            </w:r>
            <w:r>
              <w:rPr>
                <w:rFonts w:hint="eastAsia" w:ascii="Times New Roman" w:hAnsi="Times New Roman" w:eastAsia="楷体_GB2312"/>
                <w:sz w:val="21"/>
                <w:highlight w:val="none"/>
                <w:u w:val="none"/>
                <w:lang w:eastAsia="zh-CN"/>
              </w:rPr>
              <w:t>开放</w:t>
            </w:r>
            <w:r>
              <w:rPr>
                <w:rFonts w:hint="eastAsia" w:ascii="Times New Roman" w:hAnsi="Times New Roman" w:eastAsia="楷体_GB2312"/>
                <w:sz w:val="21"/>
                <w:highlight w:val="none"/>
                <w:u w:val="none"/>
              </w:rPr>
              <w:t>期内，投资</w:t>
            </w:r>
            <w:r>
              <w:rPr>
                <w:rFonts w:hint="eastAsia" w:ascii="Times New Roman" w:hAnsi="Times New Roman" w:eastAsia="楷体_GB2312"/>
                <w:sz w:val="21"/>
                <w:highlight w:val="none"/>
                <w:u w:val="none"/>
                <w:lang w:val="en-US" w:eastAsia="zh-CN"/>
              </w:rPr>
              <w:t>者</w:t>
            </w:r>
            <w:r>
              <w:rPr>
                <w:rFonts w:hint="eastAsia" w:ascii="Times New Roman" w:hAnsi="Times New Roman" w:eastAsia="楷体_GB2312"/>
                <w:sz w:val="21"/>
                <w:highlight w:val="none"/>
                <w:u w:val="none"/>
              </w:rPr>
              <w:t>按</w:t>
            </w:r>
            <w:r>
              <w:rPr>
                <w:rFonts w:hint="eastAsia" w:ascii="Times New Roman" w:hAnsi="Times New Roman" w:eastAsia="楷体_GB2312"/>
                <w:sz w:val="21"/>
                <w:highlight w:val="none"/>
                <w:u w:val="none"/>
                <w:lang w:eastAsia="zh-CN"/>
              </w:rPr>
              <w:t>产品</w:t>
            </w:r>
            <w:r>
              <w:rPr>
                <w:rFonts w:hint="eastAsia" w:ascii="Times New Roman" w:hAnsi="Times New Roman" w:eastAsia="楷体_GB2312"/>
                <w:sz w:val="21"/>
                <w:highlight w:val="none"/>
                <w:u w:val="none"/>
              </w:rPr>
              <w:t>合同约定申请购买本产品的行为。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Times New Roman" w:hAnsi="Times New Roman" w:eastAsia="楷体_GB2312"/>
                <w:b/>
                <w:highlight w:val="none"/>
              </w:rPr>
            </w:pPr>
            <w:r>
              <w:rPr>
                <w:rFonts w:hint="eastAsia" w:ascii="Times New Roman" w:hAnsi="Times New Roman" w:eastAsia="楷体_GB2312"/>
                <w:b/>
                <w:bCs w:val="0"/>
                <w:sz w:val="21"/>
                <w:highlight w:val="none"/>
              </w:rPr>
              <w:t>认</w:t>
            </w:r>
            <w:r>
              <w:rPr>
                <w:rFonts w:hint="eastAsia" w:ascii="Times New Roman" w:hAnsi="Times New Roman" w:eastAsia="楷体_GB2312"/>
                <w:b/>
                <w:bCs w:val="0"/>
                <w:sz w:val="21"/>
                <w:highlight w:val="none"/>
                <w:lang w:val="en-US" w:eastAsia="zh-CN"/>
              </w:rPr>
              <w:t>购/申</w:t>
            </w:r>
            <w:r>
              <w:rPr>
                <w:rFonts w:hint="eastAsia" w:ascii="Times New Roman" w:hAnsi="Times New Roman" w:eastAsia="楷体_GB2312"/>
                <w:b/>
                <w:bCs w:val="0"/>
                <w:sz w:val="21"/>
                <w:highlight w:val="none"/>
              </w:rPr>
              <w:t>购</w:t>
            </w:r>
            <w:r>
              <w:rPr>
                <w:rFonts w:hint="eastAsia" w:ascii="Times New Roman" w:hAnsi="Times New Roman" w:eastAsia="楷体_GB2312"/>
                <w:b/>
                <w:bCs/>
                <w:highlight w:val="none"/>
              </w:rPr>
              <w:t>起点金额</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cs="Times New Roman"/>
                <w:szCs w:val="21"/>
                <w:highlight w:val="none"/>
                <w:lang w:val="en-US" w:eastAsia="zh-CN"/>
              </w:rPr>
              <w:t>10</w:t>
            </w:r>
            <w:r>
              <w:rPr>
                <w:rFonts w:hint="eastAsia" w:ascii="Times New Roman" w:hAnsi="Times New Roman" w:eastAsia="楷体_GB2312" w:cs="Times New Roman"/>
                <w:szCs w:val="21"/>
                <w:highlight w:val="none"/>
              </w:rPr>
              <w:t>0,000.00</w:t>
            </w:r>
            <w:r>
              <w:rPr>
                <w:rFonts w:hint="eastAsia" w:ascii="Times New Roman" w:hAnsi="Times New Roman" w:eastAsia="楷体_GB2312"/>
                <w:highlight w:val="none"/>
              </w:rPr>
              <w:t>元；超出认购</w:t>
            </w:r>
            <w:r>
              <w:rPr>
                <w:rFonts w:hint="eastAsia"/>
                <w:highlight w:val="none"/>
                <w:lang w:val="en-US" w:eastAsia="zh-CN"/>
              </w:rPr>
              <w:t>/</w:t>
            </w:r>
            <w:r>
              <w:rPr>
                <w:rFonts w:hint="eastAsia" w:ascii="Times New Roman" w:hAnsi="Times New Roman" w:eastAsia="楷体_GB2312"/>
                <w:highlight w:val="none"/>
                <w:lang w:val="en-US" w:eastAsia="zh-CN"/>
              </w:rPr>
              <w:t>申购</w:t>
            </w:r>
            <w:r>
              <w:rPr>
                <w:rFonts w:hint="eastAsia" w:ascii="Times New Roman" w:hAnsi="Times New Roman" w:eastAsia="楷体_GB2312"/>
                <w:highlight w:val="none"/>
              </w:rPr>
              <w:t>起点部分须为人民币</w:t>
            </w:r>
            <w:r>
              <w:rPr>
                <w:rFonts w:hint="eastAsia" w:eastAsia="楷体_GB2312"/>
                <w:szCs w:val="21"/>
                <w:highlight w:val="none"/>
              </w:rPr>
              <w:t xml:space="preserve">10,000.00 元或 10,000.00 </w:t>
            </w:r>
            <w:r>
              <w:rPr>
                <w:rFonts w:hint="eastAsia" w:ascii="Times New Roman" w:hAnsi="Times New Roman" w:eastAsia="楷体_GB2312"/>
                <w:highlight w:val="none"/>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Times New Roman" w:hAnsi="Times New Roman" w:eastAsia="楷体_GB2312"/>
                <w:b/>
                <w:bCs/>
                <w:highlight w:val="none"/>
              </w:rPr>
            </w:pPr>
            <w:r>
              <w:rPr>
                <w:rFonts w:hint="eastAsia" w:ascii="楷体_GB2312" w:hAnsi="Times New Roman" w:eastAsia="楷体_GB2312"/>
                <w:b/>
                <w:bCs w:val="0"/>
                <w:sz w:val="21"/>
                <w:highlight w:val="none"/>
                <w:lang w:eastAsia="zh-CN"/>
              </w:rPr>
              <w:t>追加购买最低金额</w:t>
            </w:r>
          </w:p>
        </w:tc>
        <w:tc>
          <w:tcPr>
            <w:tcW w:w="6193" w:type="dxa"/>
            <w:vAlign w:val="top"/>
          </w:tcPr>
          <w:p>
            <w:pPr>
              <w:rPr>
                <w:rFonts w:hint="eastAsia" w:ascii="Times New Roman" w:hAnsi="Times New Roman" w:eastAsia="楷体_GB2312"/>
                <w:highlight w:val="none"/>
              </w:rPr>
            </w:pPr>
            <w:r>
              <w:rPr>
                <w:rFonts w:hint="eastAsia" w:eastAsia="楷体_GB2312"/>
                <w:szCs w:val="21"/>
                <w:highlight w:val="none"/>
                <w:u w:val="none"/>
              </w:rPr>
              <w:t>10,000.00</w:t>
            </w:r>
            <w:r>
              <w:rPr>
                <w:rFonts w:hint="eastAsia" w:ascii="Times New Roman" w:hAnsi="Times New Roman" w:eastAsia="楷体_GB2312"/>
                <w:b w:val="0"/>
                <w:bCs w:val="0"/>
                <w:sz w:val="21"/>
                <w:highlight w:val="none"/>
                <w:u w:val="none"/>
                <w:lang w:val="en-US" w:eastAsia="zh-CN"/>
              </w:rPr>
              <w:t>元，以</w:t>
            </w:r>
            <w:r>
              <w:rPr>
                <w:rFonts w:hint="eastAsia" w:eastAsia="楷体_GB2312"/>
                <w:szCs w:val="21"/>
                <w:highlight w:val="none"/>
                <w:u w:val="none"/>
              </w:rPr>
              <w:t>10,000.00</w:t>
            </w:r>
            <w:r>
              <w:rPr>
                <w:rFonts w:hint="eastAsia" w:ascii="Times New Roman" w:hAnsi="Times New Roman" w:eastAsia="楷体_GB2312"/>
                <w:b w:val="0"/>
                <w:bCs w:val="0"/>
                <w:sz w:val="21"/>
                <w:highlight w:val="none"/>
                <w:u w:val="none"/>
                <w:lang w:val="en-US" w:eastAsia="zh-CN"/>
              </w:rPr>
              <w:t>元的整数倍追加。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Times New Roman" w:hAnsi="Times New Roman" w:eastAsia="楷体_GB2312"/>
                <w:b/>
                <w:highlight w:val="none"/>
              </w:rPr>
            </w:pPr>
            <w:r>
              <w:rPr>
                <w:rFonts w:hint="eastAsia" w:ascii="Times New Roman" w:hAnsi="Times New Roman" w:eastAsia="楷体_GB2312"/>
                <w:b/>
                <w:bCs/>
                <w:highlight w:val="none"/>
              </w:rPr>
              <w:t>认购份额</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highlight w:val="none"/>
              </w:rPr>
              <w:t>认购份额＝认购金额/1元。</w:t>
            </w:r>
          </w:p>
          <w:p>
            <w:pPr>
              <w:rPr>
                <w:rFonts w:ascii="Times New Roman" w:hAnsi="Times New Roman" w:eastAsia="楷体_GB2312"/>
                <w:highlight w:val="none"/>
              </w:rPr>
            </w:pPr>
            <w:r>
              <w:rPr>
                <w:rFonts w:hint="eastAsia" w:ascii="Times New Roman" w:hAnsi="Times New Roman" w:eastAsia="楷体_GB2312"/>
                <w:highlight w:val="none"/>
              </w:rPr>
              <w:t>投资者实际认购份额以常熟农商银行完成认购登记后确认的份额为准。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申购份额</w:t>
            </w:r>
          </w:p>
        </w:tc>
        <w:tc>
          <w:tcPr>
            <w:tcW w:w="6193" w:type="dxa"/>
            <w:vAlign w:val="top"/>
          </w:tcPr>
          <w:p>
            <w:pPr>
              <w:rPr>
                <w:rFonts w:hint="eastAsia" w:ascii="Times New Roman" w:hAnsi="Times New Roman" w:eastAsia="楷体_GB2312"/>
                <w:highlight w:val="none"/>
              </w:rPr>
            </w:pPr>
            <w:r>
              <w:rPr>
                <w:rFonts w:hint="eastAsia" w:ascii="Times New Roman" w:hAnsi="Times New Roman" w:eastAsia="楷体_GB2312"/>
                <w:sz w:val="21"/>
                <w:highlight w:val="none"/>
                <w:u w:val="none"/>
                <w:lang w:eastAsia="zh-CN"/>
              </w:rPr>
              <w:t>申购份额＝申购金额</w:t>
            </w:r>
            <w:r>
              <w:rPr>
                <w:rFonts w:hint="eastAsia" w:ascii="Times New Roman" w:hAnsi="Times New Roman" w:eastAsia="楷体_GB2312"/>
                <w:sz w:val="21"/>
                <w:highlight w:val="none"/>
                <w:u w:val="none"/>
                <w:lang w:val="en-US" w:eastAsia="zh-CN"/>
              </w:rPr>
              <w:t>/清算确认日日终产品单位净值，精确到小数点后两位（四舍五入）。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kern w:val="0"/>
                <w:highlight w:val="none"/>
              </w:rPr>
            </w:pPr>
            <w:r>
              <w:rPr>
                <w:rFonts w:hint="eastAsia" w:ascii="Times New Roman" w:hAnsi="Times New Roman" w:eastAsia="楷体_GB2312"/>
                <w:b/>
                <w:highlight w:val="none"/>
              </w:rPr>
              <w:t>赎回</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highlight w:val="none"/>
              </w:rPr>
              <w:t>指在本产品存续期间，产品管理人按产品合同约定的条件为投资者办理赎回本理财产品产品份额的行为。</w:t>
            </w:r>
          </w:p>
          <w:p>
            <w:pPr>
              <w:rPr>
                <w:rFonts w:ascii="Times New Roman" w:hAnsi="Times New Roman" w:eastAsia="楷体_GB2312"/>
                <w:highlight w:val="none"/>
              </w:rPr>
            </w:pPr>
            <w:r>
              <w:rPr>
                <w:rFonts w:hint="eastAsia" w:ascii="Times New Roman" w:hAnsi="Times New Roman" w:eastAsia="楷体_GB2312"/>
                <w:highlight w:val="none"/>
              </w:rPr>
              <w:t>除本产品说明书另有约定外，本产品存续期内不可赎回。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单笔赎回最低份额</w:t>
            </w:r>
          </w:p>
        </w:tc>
        <w:tc>
          <w:tcPr>
            <w:tcW w:w="6193" w:type="dxa"/>
            <w:vAlign w:val="top"/>
          </w:tcPr>
          <w:p>
            <w:pPr>
              <w:rPr>
                <w:rFonts w:hint="eastAsia" w:ascii="Times New Roman" w:hAnsi="Times New Roman" w:eastAsia="楷体_GB2312"/>
                <w:highlight w:val="none"/>
              </w:rPr>
            </w:pPr>
            <w:r>
              <w:rPr>
                <w:rFonts w:hint="eastAsia" w:eastAsia="楷体_GB2312"/>
                <w:szCs w:val="21"/>
                <w:highlight w:val="none"/>
                <w:u w:val="none"/>
              </w:rPr>
              <w:t>10,000.00</w:t>
            </w:r>
            <w:r>
              <w:rPr>
                <w:rFonts w:hint="eastAsia" w:ascii="Times New Roman" w:hAnsi="Times New Roman" w:eastAsia="楷体_GB2312"/>
                <w:b w:val="0"/>
                <w:bCs/>
                <w:sz w:val="21"/>
                <w:highlight w:val="none"/>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最低保留份额</w:t>
            </w:r>
          </w:p>
        </w:tc>
        <w:tc>
          <w:tcPr>
            <w:tcW w:w="6193" w:type="dxa"/>
            <w:vAlign w:val="top"/>
          </w:tcPr>
          <w:p>
            <w:pPr>
              <w:rPr>
                <w:rFonts w:hint="eastAsia" w:ascii="Times New Roman" w:hAnsi="Times New Roman" w:eastAsia="楷体_GB2312"/>
                <w:highlight w:val="none"/>
              </w:rPr>
            </w:pPr>
            <w:r>
              <w:rPr>
                <w:rFonts w:hint="eastAsia" w:eastAsia="楷体_GB2312"/>
                <w:szCs w:val="21"/>
                <w:highlight w:val="none"/>
                <w:u w:val="none"/>
                <w:lang w:val="en-US" w:eastAsia="zh-CN"/>
              </w:rPr>
              <w:t>10</w:t>
            </w:r>
            <w:r>
              <w:rPr>
                <w:rFonts w:hint="eastAsia" w:eastAsia="楷体_GB2312"/>
                <w:szCs w:val="21"/>
                <w:highlight w:val="none"/>
                <w:u w:val="none"/>
              </w:rPr>
              <w:t>0,000.00</w:t>
            </w:r>
            <w:r>
              <w:rPr>
                <w:rFonts w:hint="eastAsia" w:ascii="Times New Roman" w:hAnsi="Times New Roman" w:eastAsia="楷体_GB2312"/>
                <w:b w:val="0"/>
                <w:bCs/>
                <w:sz w:val="21"/>
                <w:highlight w:val="none"/>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赎回金额</w:t>
            </w:r>
          </w:p>
        </w:tc>
        <w:tc>
          <w:tcPr>
            <w:tcW w:w="6193" w:type="dxa"/>
            <w:vAlign w:val="top"/>
          </w:tcPr>
          <w:p>
            <w:pPr>
              <w:rPr>
                <w:rFonts w:hint="eastAsia" w:ascii="Times New Roman" w:hAnsi="Times New Roman" w:eastAsia="楷体_GB2312"/>
                <w:highlight w:val="none"/>
              </w:rPr>
            </w:pPr>
            <w:r>
              <w:rPr>
                <w:rFonts w:hint="eastAsia" w:ascii="Times New Roman" w:hAnsi="Times New Roman" w:eastAsia="楷体_GB2312"/>
                <w:b w:val="0"/>
                <w:bCs/>
                <w:sz w:val="21"/>
                <w:highlight w:val="none"/>
                <w:u w:val="none"/>
                <w:lang w:eastAsia="zh-CN"/>
              </w:rPr>
              <w:t>赎回金额＝赎回份额</w:t>
            </w:r>
            <w:r>
              <w:rPr>
                <w:rFonts w:hint="eastAsia" w:ascii="Times New Roman" w:hAnsi="Times New Roman" w:eastAsia="楷体_GB2312"/>
                <w:b w:val="0"/>
                <w:bCs/>
                <w:sz w:val="21"/>
                <w:highlight w:val="none"/>
                <w:u w:val="none"/>
                <w:lang w:val="en-US" w:eastAsia="zh-CN"/>
              </w:rPr>
              <w:t>×清算确认日日终产品单位净值。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募集期</w:t>
            </w:r>
            <w:r>
              <w:rPr>
                <w:rFonts w:hint="eastAsia" w:ascii="楷体_GB2312" w:hAnsi="Times New Roman" w:eastAsia="楷体_GB2312"/>
                <w:b/>
                <w:bCs w:val="0"/>
                <w:sz w:val="21"/>
                <w:highlight w:val="none"/>
                <w:lang w:val="en-US" w:eastAsia="zh-CN"/>
              </w:rPr>
              <w:t>/开放期</w:t>
            </w:r>
            <w:r>
              <w:rPr>
                <w:rFonts w:hint="eastAsia" w:ascii="楷体_GB2312" w:hAnsi="Times New Roman" w:eastAsia="楷体_GB2312"/>
                <w:b/>
                <w:bCs w:val="0"/>
                <w:sz w:val="21"/>
                <w:highlight w:val="none"/>
                <w:lang w:eastAsia="zh-CN"/>
              </w:rPr>
              <w:t>是否允许撤单</w:t>
            </w:r>
          </w:p>
        </w:tc>
        <w:tc>
          <w:tcPr>
            <w:tcW w:w="6193" w:type="dxa"/>
            <w:vAlign w:val="top"/>
          </w:tcPr>
          <w:p>
            <w:pPr>
              <w:rPr>
                <w:rFonts w:hint="eastAsia" w:ascii="Times New Roman" w:hAnsi="Times New Roman" w:eastAsia="楷体_GB2312"/>
                <w:highlight w:val="none"/>
              </w:rPr>
            </w:pPr>
            <w:r>
              <w:rPr>
                <w:rFonts w:hint="eastAsia" w:ascii="Times New Roman" w:hAnsi="Times New Roman" w:eastAsia="楷体_GB2312"/>
                <w:b w:val="0"/>
                <w:bCs/>
                <w:sz w:val="21"/>
                <w:highlight w:val="none"/>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kern w:val="0"/>
                <w:highlight w:val="none"/>
              </w:rPr>
            </w:pPr>
            <w:r>
              <w:rPr>
                <w:rFonts w:hint="eastAsia" w:ascii="Times New Roman" w:hAnsi="Times New Roman" w:eastAsia="楷体_GB2312"/>
                <w:b/>
                <w:highlight w:val="none"/>
              </w:rPr>
              <w:t>单位净值</w:t>
            </w:r>
          </w:p>
        </w:tc>
        <w:tc>
          <w:tcPr>
            <w:tcW w:w="6193" w:type="dxa"/>
            <w:vAlign w:val="top"/>
          </w:tcPr>
          <w:p>
            <w:pPr>
              <w:rPr>
                <w:rFonts w:ascii="楷体_GB2312" w:hAnsi="Times New Roman" w:eastAsia="楷体_GB2312"/>
                <w:kern w:val="0"/>
                <w:highlight w:val="none"/>
              </w:rPr>
            </w:pPr>
            <w:r>
              <w:rPr>
                <w:rFonts w:hint="eastAsia" w:ascii="Times New Roman" w:hAnsi="Times New Roman" w:eastAsia="楷体_GB2312"/>
                <w:highlight w:val="none"/>
              </w:rPr>
              <w:t>指提取相关费用后的单位理财产品份额净值，投资者按该单位净值进行认购、赎回和终止时的分配。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封闭期</w:t>
            </w:r>
          </w:p>
        </w:tc>
        <w:tc>
          <w:tcPr>
            <w:tcW w:w="6193" w:type="dxa"/>
            <w:vAlign w:val="top"/>
          </w:tcPr>
          <w:p>
            <w:pPr>
              <w:spacing w:line="360" w:lineRule="exact"/>
              <w:ind w:firstLine="0" w:firstLineChars="0"/>
              <w:rPr>
                <w:rFonts w:hint="eastAsia" w:ascii="Times New Roman" w:hAnsi="Times New Roman" w:eastAsia="楷体_GB2312"/>
                <w:highlight w:val="none"/>
                <w:lang w:eastAsia="zh-CN"/>
              </w:rPr>
            </w:pPr>
            <w:r>
              <w:rPr>
                <w:rFonts w:hint="eastAsia" w:ascii="楷体_GB2312" w:eastAsia="楷体_GB2312"/>
                <w:szCs w:val="21"/>
                <w:highlight w:val="none"/>
                <w:u w:val="single"/>
                <w:lang w:eastAsia="zh-CN"/>
              </w:rPr>
              <w:t>本产品在每次申购开放期结束后封闭一年</w:t>
            </w:r>
            <w:r>
              <w:rPr>
                <w:rFonts w:hint="eastAsia" w:ascii="楷体_GB2312" w:eastAsia="楷体_GB2312"/>
                <w:szCs w:val="21"/>
                <w:highlight w:val="none"/>
                <w:u w:val="single"/>
                <w:lang w:val="en-US" w:eastAsia="zh-CN"/>
              </w:rPr>
              <w:t>，首个封闭期为</w:t>
            </w:r>
            <w:r>
              <w:rPr>
                <w:rFonts w:hint="eastAsia" w:ascii="楷体_GB2312" w:eastAsia="楷体_GB2312"/>
                <w:szCs w:val="21"/>
                <w:highlight w:val="none"/>
                <w:u w:val="single"/>
              </w:rPr>
              <w:t>20</w:t>
            </w:r>
            <w:r>
              <w:rPr>
                <w:rFonts w:hint="eastAsia" w:ascii="楷体_GB2312" w:eastAsia="楷体_GB2312"/>
                <w:szCs w:val="21"/>
                <w:highlight w:val="none"/>
                <w:u w:val="single"/>
                <w:lang w:val="en-US" w:eastAsia="zh-CN"/>
              </w:rPr>
              <w:t>20</w:t>
            </w:r>
            <w:r>
              <w:rPr>
                <w:rFonts w:hint="eastAsia" w:ascii="楷体_GB2312" w:eastAsia="楷体_GB2312"/>
                <w:szCs w:val="21"/>
                <w:highlight w:val="none"/>
                <w:u w:val="single"/>
              </w:rPr>
              <w:t>年</w:t>
            </w:r>
            <w:r>
              <w:rPr>
                <w:rFonts w:hint="eastAsia" w:ascii="楷体_GB2312" w:eastAsia="楷体_GB2312"/>
                <w:szCs w:val="21"/>
                <w:highlight w:val="none"/>
                <w:u w:val="single"/>
                <w:lang w:val="en-US" w:eastAsia="zh-CN"/>
              </w:rPr>
              <w:t>10</w:t>
            </w:r>
            <w:r>
              <w:rPr>
                <w:rFonts w:hint="eastAsia" w:ascii="楷体_GB2312" w:eastAsia="楷体_GB2312"/>
                <w:szCs w:val="21"/>
                <w:highlight w:val="none"/>
                <w:u w:val="single"/>
              </w:rPr>
              <w:t>月</w:t>
            </w:r>
            <w:r>
              <w:rPr>
                <w:rFonts w:hint="eastAsia" w:ascii="楷体_GB2312" w:eastAsia="楷体_GB2312"/>
                <w:szCs w:val="21"/>
                <w:highlight w:val="none"/>
                <w:u w:val="single"/>
                <w:lang w:val="en-US" w:eastAsia="zh-CN"/>
              </w:rPr>
              <w:t>11</w:t>
            </w:r>
            <w:r>
              <w:rPr>
                <w:rFonts w:hint="eastAsia" w:ascii="楷体_GB2312" w:eastAsia="楷体_GB2312"/>
                <w:szCs w:val="21"/>
                <w:highlight w:val="none"/>
                <w:u w:val="single"/>
              </w:rPr>
              <w:t>日</w:t>
            </w:r>
            <w:r>
              <w:rPr>
                <w:rFonts w:hint="eastAsia" w:ascii="楷体_GB2312" w:eastAsia="楷体_GB2312"/>
                <w:szCs w:val="21"/>
                <w:highlight w:val="none"/>
                <w:u w:val="single"/>
                <w:lang w:eastAsia="zh-CN"/>
              </w:rPr>
              <w:t>至</w:t>
            </w:r>
            <w:r>
              <w:rPr>
                <w:rFonts w:hint="eastAsia" w:ascii="楷体_GB2312" w:eastAsia="楷体_GB2312"/>
                <w:szCs w:val="21"/>
                <w:highlight w:val="none"/>
                <w:u w:val="single"/>
              </w:rPr>
              <w:t>20</w:t>
            </w:r>
            <w:r>
              <w:rPr>
                <w:rFonts w:hint="eastAsia" w:ascii="楷体_GB2312" w:eastAsia="楷体_GB2312"/>
                <w:szCs w:val="21"/>
                <w:highlight w:val="none"/>
                <w:u w:val="single"/>
                <w:lang w:val="en-US" w:eastAsia="zh-CN"/>
              </w:rPr>
              <w:t>21</w:t>
            </w:r>
            <w:r>
              <w:rPr>
                <w:rFonts w:hint="eastAsia" w:ascii="楷体_GB2312" w:eastAsia="楷体_GB2312"/>
                <w:szCs w:val="21"/>
                <w:highlight w:val="none"/>
                <w:u w:val="single"/>
              </w:rPr>
              <w:t>年</w:t>
            </w:r>
            <w:r>
              <w:rPr>
                <w:rFonts w:hint="eastAsia" w:ascii="楷体_GB2312" w:eastAsia="楷体_GB2312"/>
                <w:szCs w:val="21"/>
                <w:highlight w:val="none"/>
                <w:u w:val="single"/>
                <w:lang w:val="en-US" w:eastAsia="zh-CN"/>
              </w:rPr>
              <w:t>10</w:t>
            </w:r>
            <w:r>
              <w:rPr>
                <w:rFonts w:hint="eastAsia" w:ascii="楷体_GB2312" w:eastAsia="楷体_GB2312"/>
                <w:szCs w:val="21"/>
                <w:highlight w:val="none"/>
                <w:u w:val="single"/>
              </w:rPr>
              <w:t>月</w:t>
            </w:r>
            <w:r>
              <w:rPr>
                <w:rFonts w:hint="eastAsia" w:ascii="楷体_GB2312" w:eastAsia="楷体_GB2312"/>
                <w:szCs w:val="21"/>
                <w:highlight w:val="none"/>
                <w:u w:val="single"/>
                <w:lang w:val="en-US" w:eastAsia="zh-CN"/>
              </w:rPr>
              <w:t>12</w:t>
            </w:r>
            <w:r>
              <w:rPr>
                <w:rFonts w:hint="eastAsia" w:ascii="楷体_GB2312" w:eastAsia="楷体_GB2312"/>
                <w:szCs w:val="21"/>
                <w:highlight w:val="none"/>
                <w:u w:val="single"/>
              </w:rPr>
              <w:t>日</w:t>
            </w:r>
            <w:r>
              <w:rPr>
                <w:rFonts w:hint="eastAsia" w:ascii="Times New Roman" w:hAnsi="Times New Roman" w:eastAsia="楷体_GB2312"/>
                <w:highlight w:val="none"/>
                <w:lang w:eastAsia="zh-CN"/>
              </w:rPr>
              <w:t>，封闭期结束后的存续期内，除开放期之外本产品不接受投资者的申购、赎回申请。</w:t>
            </w:r>
          </w:p>
          <w:p>
            <w:pPr>
              <w:spacing w:line="360" w:lineRule="exact"/>
              <w:ind w:firstLine="0" w:firstLineChars="0"/>
              <w:rPr>
                <w:rFonts w:hint="eastAsia" w:ascii="Times New Roman" w:hAnsi="Times New Roman" w:eastAsia="楷体_GB2312"/>
                <w:highlight w:val="none"/>
                <w:lang w:eastAsia="zh-CN"/>
              </w:rPr>
            </w:pPr>
            <w:r>
              <w:rPr>
                <w:rFonts w:hint="eastAsia" w:ascii="Times New Roman" w:hAnsi="Times New Roman" w:eastAsia="楷体_GB2312"/>
                <w:highlight w:val="none"/>
                <w:lang w:eastAsia="zh-CN"/>
              </w:rPr>
              <w:t>特别的，投资者申购份额因申购时间不同，封闭期也不一致。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申购开放期</w:t>
            </w:r>
          </w:p>
        </w:tc>
        <w:tc>
          <w:tcPr>
            <w:tcW w:w="6193" w:type="dxa"/>
            <w:vAlign w:val="top"/>
          </w:tcPr>
          <w:p>
            <w:pPr>
              <w:spacing w:line="360" w:lineRule="exact"/>
              <w:ind w:firstLine="0" w:firstLineChars="0"/>
              <w:rPr>
                <w:rFonts w:hint="eastAsia" w:ascii="Times New Roman" w:hAnsi="Times New Roman" w:eastAsia="楷体_GB2312"/>
                <w:highlight w:val="none"/>
                <w:lang w:eastAsia="zh-CN"/>
              </w:rPr>
            </w:pPr>
            <w:r>
              <w:rPr>
                <w:rFonts w:hint="eastAsia" w:ascii="Times New Roman" w:hAnsi="Times New Roman" w:eastAsia="楷体_GB2312"/>
                <w:highlight w:val="none"/>
                <w:lang w:eastAsia="zh-CN"/>
              </w:rPr>
              <w:t>本产品在产品成立后以及每次封闭期结束后的一个月内每周开放申购一次，共四次。七天为一个周期，前六日为申购日，第七日为清算确认日</w:t>
            </w:r>
            <w:r>
              <w:rPr>
                <w:rFonts w:hint="eastAsia" w:ascii="Times New Roman" w:hAnsi="Times New Roman" w:eastAsia="楷体_GB2312"/>
                <w:highlight w:val="none"/>
              </w:rPr>
              <w:t>（如当天为非工作日，则顺延至下一工作日）</w:t>
            </w:r>
            <w:r>
              <w:rPr>
                <w:rFonts w:hint="eastAsia" w:ascii="Times New Roman" w:hAnsi="Times New Roman" w:eastAsia="楷体_GB2312"/>
                <w:highlight w:val="none"/>
                <w:lang w:eastAsia="zh-CN"/>
              </w:rPr>
              <w:t>。</w:t>
            </w:r>
          </w:p>
          <w:p>
            <w:pPr>
              <w:spacing w:line="360" w:lineRule="exact"/>
              <w:ind w:firstLine="0" w:firstLineChars="0"/>
              <w:rPr>
                <w:rFonts w:hint="eastAsia" w:ascii="Times New Roman" w:hAnsi="Times New Roman" w:eastAsia="楷体_GB2312"/>
                <w:highlight w:val="none"/>
              </w:rPr>
            </w:pPr>
            <w:r>
              <w:rPr>
                <w:rFonts w:hint="eastAsia" w:ascii="Times New Roman" w:hAnsi="Times New Roman" w:eastAsia="楷体_GB2312"/>
                <w:highlight w:val="none"/>
                <w:lang w:val="en-US" w:eastAsia="zh-CN"/>
              </w:rPr>
              <w:t>1）</w:t>
            </w:r>
            <w:r>
              <w:rPr>
                <w:rFonts w:hint="eastAsia" w:ascii="Times New Roman" w:hAnsi="Times New Roman" w:eastAsia="楷体_GB2312"/>
                <w:highlight w:val="none"/>
                <w:lang w:eastAsia="zh-CN"/>
              </w:rPr>
              <w:t>产品成立后首个申购开放期为</w:t>
            </w:r>
            <w:r>
              <w:rPr>
                <w:rFonts w:hint="eastAsia" w:ascii="Times New Roman" w:hAnsi="Times New Roman" w:eastAsia="楷体_GB2312"/>
                <w:highlight w:val="none"/>
                <w:lang w:val="en-US" w:eastAsia="zh-CN"/>
              </w:rPr>
              <w:t>2020年9月9日</w:t>
            </w:r>
            <w:r>
              <w:rPr>
                <w:rFonts w:hint="eastAsia" w:ascii="Times New Roman" w:hAnsi="Times New Roman" w:eastAsia="楷体_GB2312"/>
                <w:highlight w:val="none"/>
              </w:rPr>
              <w:t>的8:30</w:t>
            </w:r>
            <w:r>
              <w:rPr>
                <w:rFonts w:hint="eastAsia" w:ascii="Times New Roman" w:hAnsi="Times New Roman" w:eastAsia="楷体_GB2312"/>
                <w:highlight w:val="none"/>
                <w:lang w:val="en-US" w:eastAsia="zh-CN"/>
              </w:rPr>
              <w:t>至2020年9月14日</w:t>
            </w:r>
            <w:r>
              <w:rPr>
                <w:rFonts w:hint="eastAsia" w:ascii="Times New Roman" w:hAnsi="Times New Roman" w:eastAsia="楷体_GB2312"/>
                <w:highlight w:val="none"/>
              </w:rPr>
              <w:t>的</w:t>
            </w:r>
            <w:r>
              <w:rPr>
                <w:rFonts w:hint="eastAsia" w:ascii="Times New Roman" w:hAnsi="Times New Roman" w:eastAsia="楷体_GB2312"/>
                <w:sz w:val="21"/>
                <w:highlight w:val="none"/>
                <w:u w:val="none"/>
              </w:rPr>
              <w:t>20:30</w:t>
            </w:r>
            <w:r>
              <w:rPr>
                <w:rFonts w:hint="eastAsia" w:ascii="Times New Roman" w:hAnsi="Times New Roman" w:eastAsia="楷体_GB2312"/>
                <w:highlight w:val="none"/>
              </w:rPr>
              <w:t>（如当天为非工作日，则顺延至下一工作日）。</w:t>
            </w:r>
          </w:p>
          <w:p>
            <w:pPr>
              <w:spacing w:line="360" w:lineRule="exact"/>
              <w:ind w:firstLine="0" w:firstLineChars="0"/>
              <w:rPr>
                <w:rFonts w:hint="eastAsia" w:ascii="Times New Roman" w:hAnsi="Times New Roman" w:eastAsia="楷体_GB2312"/>
                <w:highlight w:val="none"/>
              </w:rPr>
            </w:pPr>
            <w:r>
              <w:rPr>
                <w:rFonts w:hint="eastAsia" w:ascii="Times New Roman" w:hAnsi="Times New Roman" w:eastAsia="楷体_GB2312"/>
                <w:highlight w:val="none"/>
                <w:lang w:val="en-US" w:eastAsia="zh-CN"/>
              </w:rPr>
              <w:t>2）</w:t>
            </w:r>
            <w:r>
              <w:rPr>
                <w:rFonts w:hint="eastAsia" w:ascii="Times New Roman" w:hAnsi="Times New Roman" w:eastAsia="楷体_GB2312"/>
                <w:highlight w:val="none"/>
                <w:lang w:eastAsia="zh-CN"/>
              </w:rPr>
              <w:t>封闭期结束后首个申购开放期为</w:t>
            </w:r>
            <w:r>
              <w:rPr>
                <w:rFonts w:hint="eastAsia" w:ascii="Times New Roman" w:hAnsi="Times New Roman" w:eastAsia="楷体_GB2312"/>
                <w:highlight w:val="none"/>
                <w:lang w:val="en-US" w:eastAsia="zh-CN"/>
              </w:rPr>
              <w:t>2021年10月13日</w:t>
            </w:r>
            <w:r>
              <w:rPr>
                <w:rFonts w:hint="eastAsia" w:ascii="Times New Roman" w:hAnsi="Times New Roman" w:eastAsia="楷体_GB2312"/>
                <w:highlight w:val="none"/>
              </w:rPr>
              <w:t>的8:30</w:t>
            </w:r>
            <w:r>
              <w:rPr>
                <w:rFonts w:hint="eastAsia" w:ascii="Times New Roman" w:hAnsi="Times New Roman" w:eastAsia="楷体_GB2312"/>
                <w:highlight w:val="none"/>
                <w:lang w:val="en-US" w:eastAsia="zh-CN"/>
              </w:rPr>
              <w:t>至2021年10月18日</w:t>
            </w:r>
            <w:r>
              <w:rPr>
                <w:rFonts w:hint="eastAsia" w:ascii="Times New Roman" w:hAnsi="Times New Roman" w:eastAsia="楷体_GB2312"/>
                <w:highlight w:val="none"/>
              </w:rPr>
              <w:t>的</w:t>
            </w:r>
            <w:r>
              <w:rPr>
                <w:rFonts w:hint="eastAsia" w:ascii="Times New Roman" w:hAnsi="Times New Roman" w:eastAsia="楷体_GB2312"/>
                <w:sz w:val="21"/>
                <w:highlight w:val="none"/>
                <w:u w:val="none"/>
              </w:rPr>
              <w:t>20:30</w:t>
            </w:r>
            <w:r>
              <w:rPr>
                <w:rFonts w:hint="eastAsia" w:ascii="Times New Roman" w:hAnsi="Times New Roman" w:eastAsia="楷体_GB2312"/>
                <w:highlight w:val="none"/>
              </w:rPr>
              <w:t>（如当天为非工作日，则顺延至下一工作日）</w:t>
            </w:r>
            <w:r>
              <w:rPr>
                <w:rFonts w:hint="eastAsia" w:ascii="Times New Roman" w:hAnsi="Times New Roman" w:eastAsia="楷体_GB2312"/>
                <w:sz w:val="21"/>
                <w:highlight w:val="none"/>
                <w:u w:val="none"/>
                <w:lang w:eastAsia="zh-CN"/>
              </w:rPr>
              <w:t>。</w:t>
            </w:r>
          </w:p>
          <w:p>
            <w:pPr>
              <w:spacing w:line="360" w:lineRule="exact"/>
              <w:ind w:firstLine="0" w:firstLineChars="0"/>
              <w:rPr>
                <w:rFonts w:hint="eastAsia" w:ascii="Times New Roman" w:hAnsi="Times New Roman" w:eastAsia="楷体_GB2312"/>
                <w:highlight w:val="none"/>
              </w:rPr>
            </w:pPr>
            <w:r>
              <w:rPr>
                <w:rFonts w:hint="eastAsia" w:ascii="Times New Roman" w:hAnsi="Times New Roman" w:eastAsia="楷体_GB2312"/>
                <w:highlight w:val="none"/>
                <w:lang w:val="en-US" w:eastAsia="zh-CN"/>
              </w:rPr>
              <w:t>3）</w:t>
            </w:r>
            <w:r>
              <w:rPr>
                <w:rFonts w:hint="eastAsia" w:ascii="Times New Roman" w:hAnsi="Times New Roman" w:eastAsia="楷体_GB2312"/>
                <w:highlight w:val="none"/>
              </w:rPr>
              <w:t>产品到期日所在月</w:t>
            </w:r>
            <w:r>
              <w:rPr>
                <w:rFonts w:hint="eastAsia" w:ascii="Times New Roman" w:hAnsi="Times New Roman" w:eastAsia="楷体_GB2312"/>
                <w:highlight w:val="none"/>
                <w:u w:val="none"/>
              </w:rPr>
              <w:t>（</w:t>
            </w:r>
            <w:r>
              <w:rPr>
                <w:rFonts w:hint="eastAsia" w:eastAsia="楷体_GB2312"/>
                <w:szCs w:val="21"/>
                <w:highlight w:val="none"/>
                <w:u w:val="single"/>
              </w:rPr>
              <w:t>202</w:t>
            </w:r>
            <w:r>
              <w:rPr>
                <w:rFonts w:hint="eastAsia" w:eastAsia="楷体_GB2312"/>
                <w:szCs w:val="21"/>
                <w:highlight w:val="none"/>
                <w:u w:val="single"/>
                <w:lang w:val="en-US" w:eastAsia="zh-CN"/>
              </w:rPr>
              <w:t>6</w:t>
            </w:r>
            <w:r>
              <w:rPr>
                <w:rFonts w:hint="eastAsia" w:eastAsia="楷体_GB2312"/>
                <w:szCs w:val="21"/>
                <w:highlight w:val="none"/>
                <w:u w:val="single"/>
              </w:rPr>
              <w:t>年</w:t>
            </w:r>
            <w:r>
              <w:rPr>
                <w:rFonts w:hint="eastAsia" w:eastAsia="楷体_GB2312"/>
                <w:szCs w:val="21"/>
                <w:highlight w:val="none"/>
                <w:u w:val="single"/>
                <w:lang w:val="en-US" w:eastAsia="zh-CN"/>
              </w:rPr>
              <w:t>2</w:t>
            </w:r>
            <w:r>
              <w:rPr>
                <w:rFonts w:hint="eastAsia" w:eastAsia="楷体_GB2312"/>
                <w:szCs w:val="21"/>
                <w:highlight w:val="none"/>
                <w:u w:val="single"/>
              </w:rPr>
              <w:t>月</w:t>
            </w:r>
            <w:r>
              <w:rPr>
                <w:rFonts w:hint="eastAsia" w:ascii="Times New Roman" w:hAnsi="Times New Roman" w:eastAsia="楷体_GB2312"/>
                <w:highlight w:val="none"/>
              </w:rPr>
              <w:t>及提前到期日所在月）不设开放期（以银行系统时间为准）。</w:t>
            </w:r>
          </w:p>
          <w:p>
            <w:pPr>
              <w:spacing w:line="360" w:lineRule="exact"/>
              <w:ind w:firstLine="0" w:firstLineChars="0"/>
              <w:rPr>
                <w:rFonts w:hint="eastAsia" w:ascii="楷体_GB2312" w:hAnsi="Times New Roman" w:eastAsia="楷体_GB2312"/>
                <w:highlight w:val="none"/>
              </w:rPr>
            </w:pPr>
            <w:r>
              <w:rPr>
                <w:rFonts w:hint="eastAsia" w:ascii="Times New Roman" w:hAnsi="Times New Roman" w:eastAsia="楷体_GB2312"/>
                <w:highlight w:val="none"/>
                <w:lang w:eastAsia="zh-CN"/>
              </w:rPr>
              <w:t>本产品存续期间，后续产品申购日期具体安排</w:t>
            </w:r>
            <w:r>
              <w:rPr>
                <w:rFonts w:hint="eastAsia" w:ascii="Times New Roman" w:hAnsi="Times New Roman" w:eastAsia="楷体_GB2312"/>
                <w:highlight w:val="none"/>
              </w:rPr>
              <w:t>以官方网站公告为准</w:t>
            </w:r>
            <w:r>
              <w:rPr>
                <w:rFonts w:hint="eastAsia" w:ascii="Times New Roman" w:hAnsi="Times New Roman" w:eastAsia="楷体_GB2312"/>
                <w:highlight w:val="none"/>
                <w:lang w:eastAsia="zh-CN"/>
              </w:rPr>
              <w:t>，</w:t>
            </w:r>
            <w:r>
              <w:rPr>
                <w:rFonts w:hint="eastAsia" w:ascii="Times New Roman" w:hAnsi="Times New Roman" w:eastAsia="楷体_GB2312"/>
                <w:highlight w:val="none"/>
              </w:rPr>
              <w:t>常熟农商银行有权</w:t>
            </w:r>
            <w:r>
              <w:rPr>
                <w:rFonts w:hint="eastAsia" w:ascii="Times New Roman" w:hAnsi="Times New Roman" w:eastAsia="楷体_GB2312"/>
                <w:highlight w:val="none"/>
                <w:lang w:eastAsia="zh-CN"/>
              </w:rPr>
              <w:t>根据市场情况</w:t>
            </w:r>
            <w:r>
              <w:rPr>
                <w:rFonts w:hint="eastAsia" w:ascii="Times New Roman" w:hAnsi="Times New Roman" w:eastAsia="楷体_GB2312"/>
                <w:highlight w:val="none"/>
              </w:rPr>
              <w:t>提前结束申购并相应调整相关日期。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Times New Roman" w:hAnsi="Times New Roman" w:eastAsia="楷体_GB2312"/>
                <w:b/>
                <w:bCs w:val="0"/>
                <w:sz w:val="21"/>
                <w:highlight w:val="none"/>
                <w:lang w:eastAsia="zh-CN"/>
              </w:rPr>
            </w:pPr>
            <w:r>
              <w:rPr>
                <w:rFonts w:hint="eastAsia" w:ascii="Times New Roman" w:hAnsi="Times New Roman" w:eastAsia="楷体_GB2312"/>
                <w:b/>
                <w:bCs w:val="0"/>
                <w:sz w:val="21"/>
                <w:highlight w:val="none"/>
                <w:lang w:eastAsia="zh-CN"/>
              </w:rPr>
              <w:t>赎回开放期</w:t>
            </w:r>
          </w:p>
        </w:tc>
        <w:tc>
          <w:tcPr>
            <w:tcW w:w="6193" w:type="dxa"/>
            <w:vAlign w:val="top"/>
          </w:tcPr>
          <w:p>
            <w:pPr>
              <w:spacing w:line="360" w:lineRule="exact"/>
              <w:ind w:firstLine="0" w:firstLineChars="0"/>
              <w:rPr>
                <w:rFonts w:hint="eastAsia" w:ascii="Times New Roman" w:hAnsi="Times New Roman" w:eastAsia="楷体_GB2312"/>
                <w:highlight w:val="none"/>
              </w:rPr>
            </w:pPr>
            <w:r>
              <w:rPr>
                <w:rFonts w:hint="eastAsia" w:ascii="Times New Roman" w:hAnsi="Times New Roman" w:eastAsia="楷体_GB2312"/>
                <w:highlight w:val="none"/>
                <w:lang w:eastAsia="zh-CN"/>
              </w:rPr>
              <w:t>本产品在每次封闭期结束后的一周内开放赎回一次，</w:t>
            </w:r>
            <w:r>
              <w:rPr>
                <w:rFonts w:hint="eastAsia" w:ascii="Times New Roman" w:hAnsi="Times New Roman" w:eastAsia="楷体_GB2312"/>
                <w:highlight w:val="none"/>
              </w:rPr>
              <w:t>前六日为赎回日，第七日为清算确认日</w:t>
            </w:r>
            <w:r>
              <w:rPr>
                <w:rFonts w:hint="eastAsia" w:ascii="Times New Roman" w:hAnsi="Times New Roman" w:eastAsia="楷体_GB2312"/>
                <w:highlight w:val="none"/>
                <w:lang w:eastAsia="zh-CN"/>
              </w:rPr>
              <w:t>。首个赎回开放期为</w:t>
            </w:r>
            <w:r>
              <w:rPr>
                <w:rFonts w:hint="eastAsia" w:ascii="Times New Roman" w:hAnsi="Times New Roman" w:eastAsia="楷体_GB2312"/>
                <w:highlight w:val="none"/>
                <w:lang w:val="en-US" w:eastAsia="zh-CN"/>
              </w:rPr>
              <w:t>2021年10月13日</w:t>
            </w:r>
            <w:r>
              <w:rPr>
                <w:rFonts w:hint="eastAsia" w:ascii="Times New Roman" w:hAnsi="Times New Roman" w:eastAsia="楷体_GB2312"/>
                <w:highlight w:val="none"/>
              </w:rPr>
              <w:t>的8:30</w:t>
            </w:r>
            <w:r>
              <w:rPr>
                <w:rFonts w:hint="eastAsia" w:ascii="Times New Roman" w:hAnsi="Times New Roman" w:eastAsia="楷体_GB2312"/>
                <w:highlight w:val="none"/>
                <w:lang w:val="en-US" w:eastAsia="zh-CN"/>
              </w:rPr>
              <w:t>至2021年10月18日</w:t>
            </w:r>
            <w:r>
              <w:rPr>
                <w:rFonts w:hint="eastAsia" w:ascii="Times New Roman" w:hAnsi="Times New Roman" w:eastAsia="楷体_GB2312"/>
                <w:highlight w:val="none"/>
              </w:rPr>
              <w:t>的</w:t>
            </w:r>
            <w:r>
              <w:rPr>
                <w:rFonts w:hint="eastAsia" w:ascii="Times New Roman" w:hAnsi="Times New Roman" w:eastAsia="楷体_GB2312"/>
                <w:sz w:val="21"/>
                <w:highlight w:val="none"/>
                <w:u w:val="none"/>
              </w:rPr>
              <w:t>20:30</w:t>
            </w:r>
            <w:r>
              <w:rPr>
                <w:rFonts w:hint="eastAsia" w:ascii="Times New Roman" w:hAnsi="Times New Roman" w:eastAsia="楷体_GB2312"/>
                <w:highlight w:val="none"/>
              </w:rPr>
              <w:t>（如当天为非工作日，则顺延至下一工作日）。</w:t>
            </w:r>
          </w:p>
          <w:p>
            <w:pPr>
              <w:spacing w:line="360" w:lineRule="exact"/>
              <w:ind w:firstLine="0" w:firstLineChars="0"/>
              <w:rPr>
                <w:rFonts w:hint="eastAsia" w:ascii="Times New Roman" w:hAnsi="Times New Roman" w:eastAsia="楷体_GB2312"/>
                <w:highlight w:val="none"/>
                <w:lang w:eastAsia="zh-CN"/>
              </w:rPr>
            </w:pPr>
            <w:r>
              <w:rPr>
                <w:rFonts w:hint="eastAsia" w:ascii="Times New Roman" w:hAnsi="Times New Roman" w:eastAsia="楷体_GB2312"/>
                <w:highlight w:val="none"/>
              </w:rPr>
              <w:t>本产品存续期间，后续产品</w:t>
            </w:r>
            <w:r>
              <w:rPr>
                <w:rFonts w:hint="eastAsia" w:ascii="Times New Roman" w:hAnsi="Times New Roman" w:eastAsia="楷体_GB2312"/>
                <w:highlight w:val="none"/>
                <w:lang w:eastAsia="zh-CN"/>
              </w:rPr>
              <w:t>赎回</w:t>
            </w:r>
            <w:r>
              <w:rPr>
                <w:rFonts w:hint="eastAsia" w:ascii="Times New Roman" w:hAnsi="Times New Roman" w:eastAsia="楷体_GB2312"/>
                <w:highlight w:val="none"/>
              </w:rPr>
              <w:t>日期</w:t>
            </w:r>
            <w:r>
              <w:rPr>
                <w:rFonts w:hint="eastAsia" w:ascii="Times New Roman" w:hAnsi="Times New Roman" w:eastAsia="楷体_GB2312"/>
                <w:highlight w:val="none"/>
                <w:lang w:eastAsia="zh-CN"/>
              </w:rPr>
              <w:t>具体</w:t>
            </w:r>
            <w:r>
              <w:rPr>
                <w:rFonts w:hint="eastAsia" w:ascii="Times New Roman" w:hAnsi="Times New Roman" w:eastAsia="楷体_GB2312"/>
                <w:highlight w:val="none"/>
              </w:rPr>
              <w:t>安排以官方网站公告为准</w:t>
            </w:r>
            <w:r>
              <w:rPr>
                <w:rFonts w:hint="eastAsia" w:ascii="Times New Roman" w:hAnsi="Times New Roman" w:eastAsia="楷体_GB231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清算确认日</w:t>
            </w:r>
          </w:p>
        </w:tc>
        <w:tc>
          <w:tcPr>
            <w:tcW w:w="6193" w:type="dxa"/>
            <w:vAlign w:val="top"/>
          </w:tcPr>
          <w:p>
            <w:pPr>
              <w:numPr>
                <w:ilvl w:val="0"/>
                <w:numId w:val="0"/>
              </w:numPr>
              <w:spacing w:line="360" w:lineRule="exact"/>
              <w:ind w:firstLine="0" w:firstLineChars="0"/>
              <w:rPr>
                <w:rFonts w:hint="eastAsia" w:eastAsia="楷体_GB2312"/>
                <w:szCs w:val="21"/>
                <w:highlight w:val="none"/>
              </w:rPr>
            </w:pPr>
            <w:r>
              <w:rPr>
                <w:rFonts w:hint="eastAsia" w:ascii="楷体_GB2312" w:eastAsia="楷体_GB2312"/>
                <w:szCs w:val="21"/>
                <w:highlight w:val="none"/>
                <w:lang w:eastAsia="zh-CN"/>
              </w:rPr>
              <w:t>每个申购</w:t>
            </w:r>
            <w:r>
              <w:rPr>
                <w:rFonts w:hint="eastAsia" w:ascii="楷体_GB2312" w:eastAsia="楷体_GB2312"/>
                <w:szCs w:val="21"/>
                <w:highlight w:val="none"/>
                <w:lang w:val="en-US" w:eastAsia="zh-CN"/>
              </w:rPr>
              <w:t>/赎回</w:t>
            </w:r>
            <w:r>
              <w:rPr>
                <w:rFonts w:hint="eastAsia" w:ascii="楷体_GB2312" w:eastAsia="楷体_GB2312"/>
                <w:szCs w:val="21"/>
                <w:highlight w:val="none"/>
                <w:lang w:eastAsia="zh-CN"/>
              </w:rPr>
              <w:t>开放期结束后下一个工作日即为清算确认日</w:t>
            </w:r>
            <w:r>
              <w:rPr>
                <w:rFonts w:hint="eastAsia" w:eastAsia="楷体_GB2312"/>
                <w:szCs w:val="21"/>
                <w:highlight w:val="none"/>
                <w:lang w:eastAsia="zh-CN"/>
              </w:rPr>
              <w:t>。</w:t>
            </w:r>
          </w:p>
          <w:p>
            <w:pPr>
              <w:numPr>
                <w:ilvl w:val="0"/>
                <w:numId w:val="0"/>
              </w:numPr>
              <w:spacing w:line="360" w:lineRule="exact"/>
              <w:ind w:firstLine="0" w:firstLineChars="0"/>
              <w:rPr>
                <w:rFonts w:hint="eastAsia" w:eastAsia="楷体_GB2312"/>
                <w:szCs w:val="21"/>
                <w:highlight w:val="none"/>
              </w:rPr>
            </w:pPr>
            <w:r>
              <w:rPr>
                <w:rFonts w:hint="eastAsia" w:eastAsia="楷体_GB2312"/>
                <w:szCs w:val="21"/>
                <w:highlight w:val="none"/>
                <w:lang w:eastAsia="zh-CN"/>
              </w:rPr>
              <w:t>产品成立后</w:t>
            </w:r>
            <w:r>
              <w:rPr>
                <w:rFonts w:hint="eastAsia" w:eastAsia="楷体_GB2312"/>
                <w:szCs w:val="21"/>
                <w:highlight w:val="none"/>
              </w:rPr>
              <w:t>首个清算确认日为</w:t>
            </w:r>
            <w:r>
              <w:rPr>
                <w:rFonts w:hint="eastAsia" w:ascii="楷体_GB2312" w:eastAsia="楷体_GB2312"/>
                <w:szCs w:val="21"/>
                <w:highlight w:val="none"/>
                <w:u w:val="single"/>
              </w:rPr>
              <w:t>20</w:t>
            </w:r>
            <w:r>
              <w:rPr>
                <w:rFonts w:hint="eastAsia" w:ascii="楷体_GB2312" w:eastAsia="楷体_GB2312"/>
                <w:szCs w:val="21"/>
                <w:highlight w:val="none"/>
                <w:u w:val="single"/>
                <w:lang w:val="en-US" w:eastAsia="zh-CN"/>
              </w:rPr>
              <w:t>20</w:t>
            </w:r>
            <w:r>
              <w:rPr>
                <w:rFonts w:hint="eastAsia" w:ascii="楷体_GB2312" w:eastAsia="楷体_GB2312"/>
                <w:szCs w:val="21"/>
                <w:highlight w:val="none"/>
                <w:u w:val="single"/>
              </w:rPr>
              <w:t>年</w:t>
            </w:r>
            <w:r>
              <w:rPr>
                <w:rFonts w:hint="eastAsia" w:ascii="楷体_GB2312" w:eastAsia="楷体_GB2312"/>
                <w:szCs w:val="21"/>
                <w:highlight w:val="none"/>
                <w:u w:val="single"/>
                <w:lang w:val="en-US" w:eastAsia="zh-CN"/>
              </w:rPr>
              <w:t>9</w:t>
            </w:r>
            <w:r>
              <w:rPr>
                <w:rFonts w:hint="eastAsia" w:ascii="楷体_GB2312" w:eastAsia="楷体_GB2312"/>
                <w:szCs w:val="21"/>
                <w:highlight w:val="none"/>
                <w:u w:val="single"/>
              </w:rPr>
              <w:t>月</w:t>
            </w:r>
            <w:r>
              <w:rPr>
                <w:rFonts w:hint="eastAsia" w:ascii="楷体_GB2312" w:eastAsia="楷体_GB2312"/>
                <w:szCs w:val="21"/>
                <w:highlight w:val="none"/>
                <w:u w:val="single"/>
                <w:lang w:val="en-US" w:eastAsia="zh-CN"/>
              </w:rPr>
              <w:t>15</w:t>
            </w:r>
            <w:r>
              <w:rPr>
                <w:rFonts w:hint="eastAsia" w:ascii="楷体_GB2312" w:eastAsia="楷体_GB2312"/>
                <w:szCs w:val="21"/>
                <w:highlight w:val="none"/>
                <w:u w:val="single"/>
              </w:rPr>
              <w:t>日</w:t>
            </w:r>
            <w:r>
              <w:rPr>
                <w:rFonts w:hint="eastAsia" w:ascii="Times New Roman" w:hAnsi="Times New Roman" w:eastAsia="楷体_GB2312"/>
                <w:highlight w:val="none"/>
              </w:rPr>
              <w:t>（如当天为非工作日，则顺延至下一工作日）</w:t>
            </w:r>
            <w:r>
              <w:rPr>
                <w:rFonts w:hint="eastAsia" w:eastAsia="楷体_GB2312"/>
                <w:szCs w:val="21"/>
                <w:highlight w:val="none"/>
              </w:rPr>
              <w:t>。</w:t>
            </w:r>
          </w:p>
          <w:p>
            <w:pPr>
              <w:numPr>
                <w:ilvl w:val="0"/>
                <w:numId w:val="0"/>
              </w:numPr>
              <w:spacing w:line="360" w:lineRule="exact"/>
              <w:ind w:firstLine="0" w:firstLineChars="0"/>
              <w:rPr>
                <w:rFonts w:hint="eastAsia" w:eastAsia="楷体_GB2312"/>
                <w:szCs w:val="21"/>
                <w:highlight w:val="none"/>
              </w:rPr>
            </w:pPr>
            <w:r>
              <w:rPr>
                <w:rFonts w:hint="eastAsia" w:eastAsia="楷体_GB2312"/>
                <w:szCs w:val="21"/>
                <w:highlight w:val="none"/>
                <w:lang w:eastAsia="zh-CN"/>
              </w:rPr>
              <w:t>封闭期结束后首个清算确认日为</w:t>
            </w:r>
            <w:r>
              <w:rPr>
                <w:rFonts w:hint="eastAsia" w:eastAsia="楷体_GB2312"/>
                <w:szCs w:val="21"/>
                <w:highlight w:val="none"/>
                <w:lang w:val="en-US" w:eastAsia="zh-CN"/>
              </w:rPr>
              <w:t>2021年10月19日</w:t>
            </w:r>
            <w:r>
              <w:rPr>
                <w:rFonts w:hint="eastAsia" w:ascii="Times New Roman" w:hAnsi="Times New Roman" w:eastAsia="楷体_GB2312"/>
                <w:highlight w:val="none"/>
              </w:rPr>
              <w:t>（如当天为非工作日，则顺延至下一工作日）</w:t>
            </w:r>
            <w:r>
              <w:rPr>
                <w:rFonts w:hint="eastAsia" w:eastAsia="楷体_GB2312"/>
                <w:szCs w:val="21"/>
                <w:highlight w:val="none"/>
                <w:lang w:val="en-US" w:eastAsia="zh-CN"/>
              </w:rPr>
              <w:t>。</w:t>
            </w:r>
          </w:p>
          <w:p>
            <w:pPr>
              <w:numPr>
                <w:ilvl w:val="0"/>
                <w:numId w:val="0"/>
              </w:numPr>
              <w:spacing w:line="360" w:lineRule="exact"/>
              <w:ind w:left="0" w:leftChars="0" w:firstLine="0" w:firstLineChars="0"/>
              <w:rPr>
                <w:rFonts w:hint="eastAsia" w:ascii="楷体_GB2312" w:hAnsi="Times New Roman" w:eastAsia="楷体_GB2312"/>
                <w:highlight w:val="none"/>
              </w:rPr>
            </w:pPr>
            <w:r>
              <w:rPr>
                <w:rFonts w:hint="eastAsia" w:eastAsia="楷体_GB2312"/>
                <w:szCs w:val="21"/>
                <w:highlight w:val="none"/>
                <w:lang w:eastAsia="zh-CN"/>
              </w:rPr>
              <w:t>常熟农商</w:t>
            </w:r>
            <w:r>
              <w:rPr>
                <w:rFonts w:hint="eastAsia" w:eastAsia="楷体_GB2312"/>
                <w:szCs w:val="21"/>
                <w:highlight w:val="none"/>
              </w:rPr>
              <w:t>银行仅在清算确认日对在开放期内办理的申购申请与赎回申请进行确认。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trPr>
        <w:tc>
          <w:tcPr>
            <w:tcW w:w="2329" w:type="dxa"/>
            <w:vAlign w:val="center"/>
          </w:tcPr>
          <w:p>
            <w:pPr>
              <w:rPr>
                <w:rFonts w:hint="eastAsia" w:ascii="Times New Roman" w:hAnsi="Times New Roman" w:eastAsia="楷体_GB2312"/>
                <w:b/>
                <w:bCs w:val="0"/>
                <w:sz w:val="21"/>
                <w:highlight w:val="none"/>
                <w:lang w:val="en-US" w:eastAsia="zh-CN"/>
              </w:rPr>
            </w:pPr>
            <w:r>
              <w:rPr>
                <w:rFonts w:hint="eastAsia" w:ascii="Times New Roman" w:hAnsi="Times New Roman" w:eastAsia="楷体_GB2312"/>
                <w:b/>
                <w:bCs w:val="0"/>
                <w:sz w:val="21"/>
                <w:highlight w:val="none"/>
                <w:lang w:val="en-US" w:eastAsia="zh-CN"/>
              </w:rPr>
              <w:t>产品投资周期</w:t>
            </w:r>
          </w:p>
        </w:tc>
        <w:tc>
          <w:tcPr>
            <w:tcW w:w="6193" w:type="dxa"/>
            <w:vAlign w:val="top"/>
          </w:tcPr>
          <w:p>
            <w:pPr>
              <w:numPr>
                <w:ilvl w:val="0"/>
                <w:numId w:val="0"/>
              </w:numPr>
              <w:spacing w:line="360" w:lineRule="exact"/>
              <w:ind w:left="0" w:leftChars="0" w:firstLine="0" w:firstLineChars="0"/>
              <w:rPr>
                <w:rFonts w:hint="eastAsia" w:eastAsia="楷体_GB2312"/>
                <w:szCs w:val="21"/>
                <w:highlight w:val="none"/>
                <w:lang w:eastAsia="zh-CN"/>
              </w:rPr>
            </w:pPr>
            <w:r>
              <w:rPr>
                <w:rFonts w:ascii="Calibri" w:hAnsi="Calibri" w:eastAsia="宋体" w:cs="黑体"/>
                <w:kern w:val="2"/>
                <w:sz w:val="21"/>
                <w:highlight w:val="none"/>
                <w:lang w:val="en-US" w:eastAsia="zh-CN" w:bidi="ar-SA"/>
              </w:rPr>
              <w:drawing>
                <wp:anchor distT="0" distB="0" distL="114300" distR="114300" simplePos="0" relativeHeight="251659264" behindDoc="1" locked="0" layoutInCell="1" allowOverlap="1">
                  <wp:simplePos x="0" y="0"/>
                  <wp:positionH relativeFrom="column">
                    <wp:posOffset>15875</wp:posOffset>
                  </wp:positionH>
                  <wp:positionV relativeFrom="paragraph">
                    <wp:posOffset>43180</wp:posOffset>
                  </wp:positionV>
                  <wp:extent cx="3791585" cy="1572260"/>
                  <wp:effectExtent l="0" t="0" r="18415" b="8890"/>
                  <wp:wrapNone/>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6">
                            <a:lum/>
                          </a:blip>
                          <a:stretch>
                            <a:fillRect/>
                          </a:stretch>
                        </pic:blipFill>
                        <pic:spPr>
                          <a:xfrm>
                            <a:off x="0" y="0"/>
                            <a:ext cx="3791585" cy="1572260"/>
                          </a:xfrm>
                          <a:prstGeom prst="rect">
                            <a:avLst/>
                          </a:prstGeom>
                          <a:noFill/>
                          <a:ln>
                            <a:noFill/>
                          </a:ln>
                        </pic:spPr>
                      </pic:pic>
                    </a:graphicData>
                  </a:graphic>
                </wp:anchor>
              </w:drawing>
            </w:r>
          </w:p>
          <w:p>
            <w:pPr>
              <w:numPr>
                <w:ilvl w:val="0"/>
                <w:numId w:val="0"/>
              </w:numPr>
              <w:spacing w:line="360" w:lineRule="exact"/>
              <w:ind w:left="0" w:leftChars="0" w:firstLine="0" w:firstLineChars="0"/>
              <w:rPr>
                <w:rFonts w:hint="eastAsia" w:eastAsia="楷体_GB2312"/>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申购、赎回方式</w:t>
            </w:r>
          </w:p>
        </w:tc>
        <w:tc>
          <w:tcPr>
            <w:tcW w:w="6193" w:type="dxa"/>
            <w:vAlign w:val="top"/>
          </w:tcPr>
          <w:p>
            <w:pPr>
              <w:spacing w:line="360" w:lineRule="exact"/>
              <w:ind w:firstLine="0" w:firstLineChars="0"/>
              <w:rPr>
                <w:rFonts w:hint="eastAsia" w:ascii="楷体_GB2312" w:hAnsi="Times New Roman" w:eastAsia="楷体_GB2312"/>
                <w:highlight w:val="none"/>
              </w:rPr>
            </w:pPr>
            <w:r>
              <w:rPr>
                <w:rFonts w:hint="eastAsia" w:ascii="Times New Roman" w:hAnsi="Times New Roman" w:eastAsia="楷体_GB2312"/>
                <w:highlight w:val="none"/>
                <w:u w:val="none"/>
                <w:lang w:eastAsia="zh-CN"/>
              </w:rPr>
              <w:t>投资者可在开放期的开放时间内提交申购、赎回申请，管理人在清算确认日（</w:t>
            </w:r>
            <w:r>
              <w:rPr>
                <w:rFonts w:hint="eastAsia" w:ascii="Times New Roman" w:hAnsi="Times New Roman" w:eastAsia="楷体_GB2312"/>
                <w:highlight w:val="none"/>
                <w:u w:val="none"/>
                <w:lang w:val="en-US" w:eastAsia="zh-CN"/>
              </w:rPr>
              <w:t>T日</w:t>
            </w:r>
            <w:r>
              <w:rPr>
                <w:rFonts w:hint="eastAsia" w:ascii="Times New Roman" w:hAnsi="Times New Roman" w:eastAsia="楷体_GB2312"/>
                <w:highlight w:val="none"/>
                <w:u w:val="none"/>
                <w:lang w:eastAsia="zh-CN"/>
              </w:rPr>
              <w:t>）当天处理开放期内收到的申购</w:t>
            </w:r>
            <w:r>
              <w:rPr>
                <w:rFonts w:hint="eastAsia" w:ascii="Times New Roman" w:hAnsi="Times New Roman" w:eastAsia="楷体_GB2312"/>
                <w:highlight w:val="none"/>
                <w:u w:val="none"/>
                <w:lang w:val="en-US" w:eastAsia="zh-CN"/>
              </w:rPr>
              <w:t>/</w:t>
            </w:r>
            <w:r>
              <w:rPr>
                <w:rFonts w:hint="eastAsia" w:ascii="Times New Roman" w:hAnsi="Times New Roman" w:eastAsia="楷体_GB2312"/>
                <w:highlight w:val="none"/>
                <w:u w:val="none"/>
                <w:lang w:eastAsia="zh-CN"/>
              </w:rPr>
              <w:t>赎回申请，并在</w:t>
            </w:r>
            <w:r>
              <w:rPr>
                <w:rFonts w:hint="eastAsia" w:ascii="Times New Roman" w:hAnsi="Times New Roman" w:eastAsia="楷体_GB2312"/>
                <w:highlight w:val="none"/>
                <w:u w:val="none"/>
                <w:lang w:val="en-US" w:eastAsia="zh-CN"/>
              </w:rPr>
              <w:t>T+2工作日内对交易的有效性进行确认。投资者可在T+3工作日及之后向产品管理人查询。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申购、赎回规则</w:t>
            </w:r>
          </w:p>
        </w:tc>
        <w:tc>
          <w:tcPr>
            <w:tcW w:w="6193" w:type="dxa"/>
            <w:vAlign w:val="top"/>
          </w:tcPr>
          <w:p>
            <w:pPr>
              <w:numPr>
                <w:ilvl w:val="0"/>
                <w:numId w:val="0"/>
              </w:numPr>
              <w:spacing w:line="360" w:lineRule="exact"/>
              <w:ind w:firstLine="0" w:firstLineChars="0"/>
              <w:rPr>
                <w:rFonts w:hint="eastAsia" w:ascii="Times New Roman" w:hAnsi="Times New Roman" w:eastAsia="楷体_GB2312"/>
                <w:highlight w:val="none"/>
                <w:u w:val="none"/>
              </w:rPr>
            </w:pPr>
            <w:r>
              <w:rPr>
                <w:rFonts w:hint="eastAsia" w:ascii="Times New Roman" w:hAnsi="Times New Roman" w:eastAsia="楷体_GB2312"/>
                <w:highlight w:val="none"/>
                <w:u w:val="none"/>
              </w:rPr>
              <w:t>本产品采用金额申购、份额赎回原则，即申购以金额申请，赎回以份额申请。申购与赎回价格以"未知价原则"受理申请，即清算确认日日终后计算的产品单位净值为基准进行计算。</w:t>
            </w:r>
          </w:p>
          <w:p>
            <w:pPr>
              <w:numPr>
                <w:ilvl w:val="0"/>
                <w:numId w:val="0"/>
              </w:numPr>
              <w:spacing w:line="360" w:lineRule="exact"/>
              <w:ind w:firstLine="0" w:firstLineChars="0"/>
              <w:rPr>
                <w:rFonts w:hint="eastAsia" w:ascii="Times New Roman" w:hAnsi="Times New Roman" w:eastAsia="楷体_GB2312"/>
                <w:highlight w:val="none"/>
                <w:u w:val="none"/>
              </w:rPr>
            </w:pPr>
            <w:r>
              <w:rPr>
                <w:rFonts w:hint="eastAsia" w:ascii="Times New Roman" w:hAnsi="Times New Roman" w:eastAsia="楷体_GB2312"/>
                <w:highlight w:val="none"/>
                <w:u w:val="none"/>
              </w:rPr>
              <w:t>产品管理人有权单方面更改上述原则，但应最迟在新的原则实施前三个工作日予以公告。</w:t>
            </w:r>
          </w:p>
          <w:p>
            <w:pPr>
              <w:numPr>
                <w:ilvl w:val="0"/>
                <w:numId w:val="0"/>
              </w:numPr>
              <w:spacing w:line="360" w:lineRule="exact"/>
              <w:ind w:left="0" w:leftChars="0" w:firstLine="0" w:firstLineChars="0"/>
              <w:rPr>
                <w:rFonts w:hint="eastAsia" w:ascii="楷体_GB2312" w:hAnsi="Times New Roman" w:eastAsia="楷体_GB2312"/>
                <w:highlight w:val="none"/>
              </w:rPr>
            </w:pPr>
            <w:r>
              <w:rPr>
                <w:rFonts w:hint="eastAsia" w:ascii="Times New Roman" w:hAnsi="Times New Roman" w:eastAsia="楷体_GB2312"/>
                <w:highlight w:val="none"/>
                <w:u w:val="none"/>
                <w:lang w:eastAsia="zh-CN"/>
              </w:rPr>
              <w:t>与申购、赎回相关的其他内容详见本产品说明书第三部分“</w:t>
            </w:r>
            <w:r>
              <w:rPr>
                <w:rFonts w:hint="eastAsia" w:ascii="Times New Roman" w:hAnsi="Times New Roman" w:eastAsia="楷体_GB2312"/>
                <w:b w:val="0"/>
                <w:bCs w:val="0"/>
                <w:highlight w:val="none"/>
                <w:u w:val="none"/>
                <w:lang w:eastAsia="zh-CN"/>
              </w:rPr>
              <w:t>产品的申购与赎回</w:t>
            </w:r>
            <w:r>
              <w:rPr>
                <w:rFonts w:hint="eastAsia" w:ascii="Times New Roman" w:hAnsi="Times New Roman" w:eastAsia="楷体_GB231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巨额赎回</w:t>
            </w:r>
          </w:p>
        </w:tc>
        <w:tc>
          <w:tcPr>
            <w:tcW w:w="6193" w:type="dxa"/>
            <w:vAlign w:val="top"/>
          </w:tcPr>
          <w:p>
            <w:pPr>
              <w:spacing w:line="360" w:lineRule="exact"/>
              <w:ind w:firstLine="0" w:firstLineChars="0"/>
              <w:rPr>
                <w:rFonts w:hint="eastAsia" w:ascii="楷体_GB2312" w:hAnsi="Times New Roman" w:eastAsia="楷体_GB2312"/>
                <w:highlight w:val="none"/>
              </w:rPr>
            </w:pPr>
            <w:r>
              <w:rPr>
                <w:rFonts w:hint="eastAsia" w:eastAsia="楷体_GB2312"/>
                <w:szCs w:val="21"/>
                <w:highlight w:val="none"/>
                <w:u w:val="none"/>
              </w:rPr>
              <w:t>在</w:t>
            </w:r>
            <w:r>
              <w:rPr>
                <w:rFonts w:hint="eastAsia" w:eastAsia="楷体_GB2312"/>
                <w:szCs w:val="21"/>
                <w:highlight w:val="none"/>
                <w:u w:val="none"/>
                <w:lang w:eastAsia="zh-CN"/>
              </w:rPr>
              <w:t>产品赎回</w:t>
            </w:r>
            <w:r>
              <w:rPr>
                <w:rFonts w:hint="eastAsia" w:eastAsia="楷体_GB2312"/>
                <w:szCs w:val="21"/>
                <w:highlight w:val="none"/>
                <w:u w:val="none"/>
              </w:rPr>
              <w:t>开放期</w:t>
            </w:r>
            <w:r>
              <w:rPr>
                <w:rFonts w:hint="eastAsia" w:eastAsia="楷体_GB2312"/>
                <w:szCs w:val="21"/>
                <w:highlight w:val="none"/>
                <w:u w:val="none"/>
                <w:lang w:eastAsia="zh-CN"/>
              </w:rPr>
              <w:t>业务时间内</w:t>
            </w:r>
            <w:r>
              <w:rPr>
                <w:rFonts w:hint="eastAsia" w:eastAsia="楷体_GB2312"/>
                <w:szCs w:val="21"/>
                <w:highlight w:val="none"/>
                <w:u w:val="none"/>
              </w:rPr>
              <w:t>，</w:t>
            </w:r>
            <w:r>
              <w:rPr>
                <w:rFonts w:hint="eastAsia" w:eastAsia="楷体_GB2312"/>
                <w:szCs w:val="21"/>
                <w:highlight w:val="none"/>
              </w:rPr>
              <w:t>本产品的产品份额净赎回申请</w:t>
            </w:r>
            <w:r>
              <w:rPr>
                <w:rFonts w:hint="eastAsia" w:eastAsia="楷体_GB2312"/>
                <w:szCs w:val="21"/>
                <w:highlight w:val="none"/>
                <w:lang w:eastAsia="zh-CN"/>
              </w:rPr>
              <w:t>（赎回申请总份额</w:t>
            </w:r>
            <w:r>
              <w:rPr>
                <w:rFonts w:hint="eastAsia" w:eastAsia="楷体_GB2312"/>
                <w:szCs w:val="21"/>
                <w:highlight w:val="none"/>
                <w:lang w:val="en-US" w:eastAsia="zh-CN"/>
              </w:rPr>
              <w:t>-申购总份额）</w:t>
            </w:r>
            <w:r>
              <w:rPr>
                <w:rFonts w:hint="eastAsia" w:eastAsia="楷体_GB2312"/>
                <w:szCs w:val="21"/>
                <w:highlight w:val="none"/>
                <w:u w:val="none"/>
              </w:rPr>
              <w:t>超过</w:t>
            </w:r>
            <w:r>
              <w:rPr>
                <w:rFonts w:hint="eastAsia" w:eastAsia="楷体_GB2312"/>
                <w:b/>
                <w:szCs w:val="21"/>
                <w:highlight w:val="none"/>
                <w:u w:val="none"/>
              </w:rPr>
              <w:t>上一清算确认日或成立日日终</w:t>
            </w:r>
            <w:r>
              <w:rPr>
                <w:rFonts w:hint="eastAsia" w:eastAsia="楷体_GB2312"/>
                <w:szCs w:val="21"/>
                <w:highlight w:val="none"/>
                <w:u w:val="none"/>
              </w:rPr>
              <w:t>产品总份额的</w:t>
            </w:r>
            <w:r>
              <w:rPr>
                <w:rFonts w:hint="eastAsia" w:eastAsia="楷体_GB2312"/>
                <w:szCs w:val="21"/>
                <w:highlight w:val="none"/>
                <w:u w:val="none"/>
                <w:lang w:val="en-US" w:eastAsia="zh-CN"/>
              </w:rPr>
              <w:t>1</w:t>
            </w:r>
            <w:r>
              <w:rPr>
                <w:rFonts w:hint="eastAsia" w:eastAsia="楷体_GB2312"/>
                <w:szCs w:val="21"/>
                <w:highlight w:val="none"/>
                <w:u w:val="none"/>
              </w:rPr>
              <w:t>0%，为巨额赎回。</w:t>
            </w:r>
            <w:r>
              <w:rPr>
                <w:rFonts w:hint="eastAsia" w:ascii="Times New Roman" w:hAnsi="Times New Roman" w:eastAsia="楷体_GB2312"/>
                <w:highlight w:val="none"/>
                <w:u w:val="none"/>
                <w:lang w:eastAsia="zh-CN"/>
              </w:rPr>
              <w:t>与巨额赎回相关的内容详见本产品说明书第三部分“</w:t>
            </w:r>
            <w:r>
              <w:rPr>
                <w:rFonts w:hint="eastAsia" w:ascii="Times New Roman" w:hAnsi="Times New Roman" w:eastAsia="楷体_GB2312"/>
                <w:b w:val="0"/>
                <w:bCs w:val="0"/>
                <w:highlight w:val="none"/>
                <w:u w:val="none"/>
                <w:lang w:eastAsia="zh-CN"/>
              </w:rPr>
              <w:t>产品的申购与赎回</w:t>
            </w:r>
            <w:r>
              <w:rPr>
                <w:rFonts w:hint="eastAsia" w:ascii="Times New Roman" w:hAnsi="Times New Roman" w:eastAsia="楷体_GB231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赎回资金到帐日</w:t>
            </w:r>
          </w:p>
        </w:tc>
        <w:tc>
          <w:tcPr>
            <w:tcW w:w="6193" w:type="dxa"/>
            <w:vAlign w:val="top"/>
          </w:tcPr>
          <w:p>
            <w:pPr>
              <w:spacing w:line="360" w:lineRule="exact"/>
              <w:ind w:firstLine="0" w:firstLineChars="0"/>
              <w:rPr>
                <w:rFonts w:hint="eastAsia" w:ascii="Times New Roman" w:hAnsi="Times New Roman" w:eastAsia="楷体_GB2312"/>
                <w:highlight w:val="none"/>
                <w:u w:val="none"/>
                <w:lang w:eastAsia="zh-CN"/>
              </w:rPr>
            </w:pPr>
            <w:r>
              <w:rPr>
                <w:rFonts w:hint="eastAsia" w:ascii="Times New Roman" w:hAnsi="Times New Roman" w:eastAsia="楷体_GB2312"/>
                <w:b/>
                <w:bCs/>
                <w:highlight w:val="none"/>
                <w:u w:val="none"/>
                <w:lang w:eastAsia="zh-CN"/>
              </w:rPr>
              <w:t>赎回资金将于清算确认日后</w:t>
            </w:r>
            <w:r>
              <w:rPr>
                <w:rFonts w:hint="eastAsia" w:ascii="Times New Roman" w:hAnsi="Times New Roman" w:eastAsia="楷体_GB2312"/>
                <w:b/>
                <w:bCs/>
                <w:highlight w:val="none"/>
                <w:u w:val="none"/>
                <w:lang w:val="en-US" w:eastAsia="zh-CN"/>
              </w:rPr>
              <w:t>3个工作日内</w:t>
            </w:r>
            <w:r>
              <w:rPr>
                <w:rFonts w:hint="eastAsia" w:ascii="Times New Roman" w:hAnsi="Times New Roman" w:eastAsia="楷体_GB2312"/>
                <w:b/>
                <w:bCs/>
                <w:highlight w:val="none"/>
                <w:u w:val="none"/>
                <w:lang w:eastAsia="zh-CN"/>
              </w:rPr>
              <w:t>一次性支付。</w:t>
            </w:r>
            <w:r>
              <w:rPr>
                <w:rFonts w:hint="eastAsia" w:eastAsia="楷体_GB2312"/>
                <w:szCs w:val="21"/>
                <w:highlight w:val="none"/>
                <w:u w:val="none"/>
              </w:rPr>
              <w:t>在发生巨额赎回时，赎回款项的支付办法按本产品说明书</w:t>
            </w:r>
            <w:r>
              <w:rPr>
                <w:rFonts w:hint="eastAsia" w:ascii="Times New Roman" w:hAnsi="Times New Roman" w:eastAsia="楷体_GB2312"/>
                <w:highlight w:val="none"/>
                <w:u w:val="none"/>
                <w:lang w:eastAsia="zh-CN"/>
              </w:rPr>
              <w:t>第三部分“</w:t>
            </w:r>
            <w:r>
              <w:rPr>
                <w:rFonts w:hint="eastAsia" w:ascii="Times New Roman" w:hAnsi="Times New Roman" w:eastAsia="楷体_GB2312"/>
                <w:b w:val="0"/>
                <w:bCs w:val="0"/>
                <w:highlight w:val="none"/>
                <w:u w:val="none"/>
                <w:lang w:eastAsia="zh-CN"/>
              </w:rPr>
              <w:t>产品的申购与赎回</w:t>
            </w:r>
            <w:r>
              <w:rPr>
                <w:rFonts w:hint="eastAsia" w:ascii="Times New Roman" w:hAnsi="Times New Roman" w:eastAsia="楷体_GB2312"/>
                <w:highlight w:val="none"/>
                <w:u w:val="none"/>
                <w:lang w:eastAsia="zh-CN"/>
              </w:rPr>
              <w:t>”</w:t>
            </w:r>
            <w:r>
              <w:rPr>
                <w:rFonts w:hint="eastAsia" w:eastAsia="楷体_GB2312"/>
                <w:szCs w:val="21"/>
                <w:highlight w:val="none"/>
                <w:u w:val="none"/>
              </w:rPr>
              <w:t>有关</w:t>
            </w:r>
            <w:r>
              <w:rPr>
                <w:rFonts w:hint="eastAsia" w:eastAsia="楷体_GB2312"/>
                <w:szCs w:val="21"/>
                <w:highlight w:val="none"/>
                <w:u w:val="none"/>
                <w:lang w:eastAsia="zh-CN"/>
              </w:rPr>
              <w:t>约定</w:t>
            </w:r>
            <w:r>
              <w:rPr>
                <w:rFonts w:hint="eastAsia" w:eastAsia="楷体_GB2312"/>
                <w:szCs w:val="21"/>
                <w:highlight w:val="none"/>
                <w:u w:val="none"/>
              </w:rPr>
              <w:t>处理。</w:t>
            </w:r>
          </w:p>
          <w:p>
            <w:pPr>
              <w:spacing w:line="360" w:lineRule="exact"/>
              <w:ind w:firstLine="0" w:firstLineChars="0"/>
              <w:rPr>
                <w:rFonts w:hint="eastAsia" w:ascii="楷体_GB2312" w:hAnsi="Times New Roman" w:eastAsia="楷体_GB2312"/>
                <w:highlight w:val="none"/>
              </w:rPr>
            </w:pPr>
            <w:r>
              <w:rPr>
                <w:rFonts w:hint="eastAsia" w:ascii="Times New Roman" w:hAnsi="Times New Roman" w:eastAsia="楷体_GB2312"/>
                <w:b/>
                <w:bCs/>
                <w:highlight w:val="none"/>
                <w:u w:val="none"/>
                <w:lang w:eastAsia="zh-CN"/>
              </w:rPr>
              <w:t>清算确认日</w:t>
            </w:r>
            <w:r>
              <w:rPr>
                <w:rFonts w:hint="eastAsia" w:ascii="Times New Roman" w:hAnsi="Times New Roman" w:eastAsia="楷体_GB2312"/>
                <w:b/>
                <w:bCs/>
                <w:highlight w:val="none"/>
                <w:u w:val="none"/>
                <w:lang w:val="en-US" w:eastAsia="zh-CN"/>
              </w:rPr>
              <w:t>至资金到帐日期间，客户资金不计付利息。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楷体_GB2312" w:hAnsi="Times New Roman" w:eastAsia="楷体_GB2312"/>
                <w:b/>
                <w:highlight w:val="none"/>
                <w:lang w:eastAsia="zh-CN"/>
              </w:rPr>
              <w:t>相关</w:t>
            </w:r>
            <w:r>
              <w:rPr>
                <w:rFonts w:hint="eastAsia" w:ascii="楷体_GB2312" w:hAnsi="Times New Roman" w:eastAsia="楷体_GB2312"/>
                <w:b/>
                <w:highlight w:val="none"/>
              </w:rPr>
              <w:t>费用</w:t>
            </w:r>
          </w:p>
        </w:tc>
        <w:tc>
          <w:tcPr>
            <w:tcW w:w="6193" w:type="dxa"/>
            <w:vAlign w:val="top"/>
          </w:tcPr>
          <w:p>
            <w:pPr>
              <w:numPr>
                <w:ilvl w:val="0"/>
                <w:numId w:val="1"/>
              </w:num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认购费：0%/年</w:t>
            </w:r>
          </w:p>
          <w:p>
            <w:pPr>
              <w:numPr>
                <w:ilvl w:val="0"/>
                <w:numId w:val="1"/>
              </w:num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管理费：</w:t>
            </w:r>
          </w:p>
          <w:p>
            <w:p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本产品按照资产净值的0.</w:t>
            </w:r>
            <w:r>
              <w:rPr>
                <w:rFonts w:hint="eastAsia" w:ascii="楷体_GB2312" w:hAnsi="Times New Roman" w:eastAsia="楷体_GB2312"/>
                <w:highlight w:val="none"/>
                <w:lang w:val="en-US" w:eastAsia="zh-CN"/>
              </w:rPr>
              <w:t>3</w:t>
            </w:r>
            <w:r>
              <w:rPr>
                <w:rFonts w:hint="eastAsia" w:ascii="楷体_GB2312" w:hAnsi="Times New Roman" w:eastAsia="楷体_GB2312"/>
                <w:highlight w:val="none"/>
              </w:rPr>
              <w:t>%/年提取固定管理费，每日计提的固定管理费=</w:t>
            </w:r>
            <w:r>
              <w:rPr>
                <w:rFonts w:hint="eastAsia" w:ascii="楷体_GB2312" w:hAnsi="Times New Roman" w:eastAsia="楷体_GB2312"/>
                <w:highlight w:val="none"/>
                <w:lang w:eastAsia="zh-CN"/>
              </w:rPr>
              <w:t>每日</w:t>
            </w:r>
            <w:r>
              <w:rPr>
                <w:rFonts w:hint="eastAsia" w:ascii="楷体_GB2312" w:hAnsi="Times New Roman" w:eastAsia="楷体_GB2312"/>
                <w:highlight w:val="none"/>
              </w:rPr>
              <w:t>资产净值×0.</w:t>
            </w:r>
            <w:r>
              <w:rPr>
                <w:rFonts w:hint="eastAsia" w:ascii="楷体_GB2312" w:hAnsi="Times New Roman" w:eastAsia="楷体_GB2312"/>
                <w:highlight w:val="none"/>
                <w:lang w:val="en-US" w:eastAsia="zh-CN"/>
              </w:rPr>
              <w:t>3</w:t>
            </w:r>
            <w:r>
              <w:rPr>
                <w:rFonts w:hint="eastAsia" w:ascii="楷体_GB2312" w:hAnsi="Times New Roman" w:eastAsia="楷体_GB2312"/>
                <w:highlight w:val="none"/>
              </w:rPr>
              <w:t>%／365</w:t>
            </w:r>
          </w:p>
          <w:p>
            <w:p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3、托管费：</w:t>
            </w:r>
          </w:p>
          <w:p>
            <w:p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本产品按照资产净值的0.01%/年的固定托管费率收取托管费，每日计提的托管费=</w:t>
            </w:r>
            <w:r>
              <w:rPr>
                <w:rFonts w:hint="eastAsia" w:ascii="楷体_GB2312" w:hAnsi="Times New Roman" w:eastAsia="楷体_GB2312"/>
                <w:highlight w:val="none"/>
                <w:lang w:eastAsia="zh-CN"/>
              </w:rPr>
              <w:t>每日</w:t>
            </w:r>
            <w:r>
              <w:rPr>
                <w:rFonts w:hint="eastAsia" w:ascii="楷体_GB2312" w:hAnsi="Times New Roman" w:eastAsia="楷体_GB2312"/>
                <w:highlight w:val="none"/>
              </w:rPr>
              <w:t>资产净值×0.01%／365</w:t>
            </w:r>
          </w:p>
          <w:p>
            <w:p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固定管理费、托管费每日计提</w:t>
            </w:r>
            <w:r>
              <w:rPr>
                <w:rFonts w:hint="eastAsia" w:ascii="楷体_GB2312" w:hAnsi="Times New Roman" w:eastAsia="楷体_GB2312"/>
                <w:highlight w:val="none"/>
                <w:lang w:eastAsia="zh-CN"/>
              </w:rPr>
              <w:t>，按产品开放周期支付</w:t>
            </w:r>
            <w:r>
              <w:rPr>
                <w:rFonts w:hint="eastAsia" w:ascii="楷体_GB2312" w:hAnsi="Times New Roman" w:eastAsia="楷体_GB2312"/>
                <w:highlight w:val="none"/>
              </w:rPr>
              <w:t>。</w:t>
            </w:r>
          </w:p>
          <w:p>
            <w:pPr>
              <w:snapToGrid w:val="0"/>
              <w:spacing w:line="360" w:lineRule="exact"/>
              <w:rPr>
                <w:rFonts w:ascii="楷体_GB2312" w:hAnsi="Times New Roman" w:eastAsia="楷体_GB2312"/>
                <w:highlight w:val="none"/>
              </w:rPr>
            </w:pPr>
            <w:r>
              <w:rPr>
                <w:rFonts w:hint="eastAsia" w:ascii="楷体_GB2312" w:hAnsi="Times New Roman" w:eastAsia="楷体_GB2312"/>
                <w:b w:val="0"/>
                <w:bCs w:val="0"/>
                <w:highlight w:val="none"/>
              </w:rPr>
              <w:t>其他费用详见本产品说明书第</w:t>
            </w:r>
            <w:r>
              <w:rPr>
                <w:rFonts w:hint="eastAsia" w:ascii="楷体_GB2312" w:hAnsi="Times New Roman" w:eastAsia="楷体_GB2312"/>
                <w:b w:val="0"/>
                <w:bCs w:val="0"/>
                <w:highlight w:val="none"/>
                <w:lang w:eastAsia="zh-CN"/>
              </w:rPr>
              <w:t>五</w:t>
            </w:r>
            <w:r>
              <w:rPr>
                <w:rFonts w:hint="eastAsia" w:ascii="楷体_GB2312" w:hAnsi="Times New Roman" w:eastAsia="楷体_GB2312"/>
                <w:b w:val="0"/>
                <w:bCs w:val="0"/>
                <w:highlight w:val="none"/>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楷体_GB2312" w:hAnsi="Times New Roman" w:eastAsia="楷体_GB2312"/>
                <w:b/>
                <w:highlight w:val="none"/>
              </w:rPr>
              <w:t>销售渠道</w:t>
            </w:r>
          </w:p>
        </w:tc>
        <w:tc>
          <w:tcPr>
            <w:tcW w:w="6193" w:type="dxa"/>
            <w:vAlign w:val="top"/>
          </w:tcPr>
          <w:p>
            <w:pPr>
              <w:rPr>
                <w:highlight w:val="none"/>
              </w:rPr>
            </w:pPr>
            <w:r>
              <w:rPr>
                <w:rFonts w:hint="eastAsia" w:ascii="楷体_GB2312" w:hAnsi="Times New Roman" w:eastAsia="楷体_GB2312"/>
                <w:highlight w:val="none"/>
              </w:rPr>
              <w:t>常熟农商银行下属各营业网点和电子渠道（包括但不限于常熟农商银行柜面、手机银行等渠道）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highlight w:val="none"/>
              </w:rPr>
              <w:t>工作日</w:t>
            </w:r>
          </w:p>
        </w:tc>
        <w:tc>
          <w:tcPr>
            <w:tcW w:w="6193" w:type="dxa"/>
            <w:vAlign w:val="top"/>
          </w:tcPr>
          <w:p>
            <w:pPr>
              <w:spacing w:line="360" w:lineRule="exact"/>
              <w:rPr>
                <w:highlight w:val="none"/>
              </w:rPr>
            </w:pPr>
            <w:r>
              <w:rPr>
                <w:rFonts w:hint="eastAsia" w:ascii="Times New Roman" w:hAnsi="Times New Roman" w:eastAsia="楷体_GB2312"/>
                <w:highlight w:val="none"/>
              </w:rPr>
              <w:t>除法定节假日和休息日（以国务院公布为准）以外的中国的银行营业日。如遇特殊情况，以常熟农商银行具体公告为准。本产品说明书中涉及的所有日期如遇非工作日，则顺延至下一个工作日。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Times New Roman" w:hAnsi="Times New Roman" w:eastAsia="楷体_GB2312"/>
                <w:b/>
                <w:highlight w:val="none"/>
              </w:rPr>
            </w:pPr>
            <w:r>
              <w:rPr>
                <w:rFonts w:hint="eastAsia" w:ascii="楷体_GB2312" w:hAnsi="Times New Roman" w:eastAsia="楷体_GB2312"/>
                <w:b/>
                <w:kern w:val="0"/>
                <w:highlight w:val="none"/>
              </w:rPr>
              <w:t>税收规定</w:t>
            </w:r>
          </w:p>
        </w:tc>
        <w:tc>
          <w:tcPr>
            <w:tcW w:w="6193" w:type="dxa"/>
            <w:vAlign w:val="top"/>
          </w:tcPr>
          <w:p>
            <w:pPr>
              <w:rPr>
                <w:rFonts w:ascii="Times New Roman" w:hAnsi="Times New Roman" w:eastAsia="楷体_GB2312"/>
                <w:highlight w:val="none"/>
              </w:rPr>
            </w:pPr>
            <w:r>
              <w:rPr>
                <w:rFonts w:hint="eastAsia" w:ascii="楷体_GB2312" w:hAnsi="Times New Roman" w:eastAsia="楷体_GB2312"/>
                <w:kern w:val="0"/>
                <w:highlight w:val="none"/>
              </w:rPr>
              <w:t>本产品运作过程中涉及的各纳税主体，自行依照国家法律法规的规定履行纳税义务。特别的，根据现行增值税法规，本产品运营过程中发生的增值税应税行为，由产品管理人负责申报及缴纳，相应税费由本产品承担。</w:t>
            </w:r>
          </w:p>
        </w:tc>
      </w:tr>
    </w:tbl>
    <w:p>
      <w:pPr>
        <w:snapToGrid w:val="0"/>
        <w:spacing w:line="480" w:lineRule="exact"/>
        <w:rPr>
          <w:rFonts w:ascii="方正大标宋简体" w:hAnsi="宋体" w:eastAsia="方正大标宋简体"/>
          <w:b/>
          <w:sz w:val="36"/>
          <w:highlight w:val="none"/>
        </w:rPr>
      </w:pPr>
    </w:p>
    <w:p>
      <w:pPr>
        <w:snapToGrid w:val="0"/>
        <w:spacing w:line="360" w:lineRule="atLeast"/>
        <w:jc w:val="center"/>
        <w:rPr>
          <w:rFonts w:ascii="楷体_GB2312" w:eastAsia="楷体_GB2312"/>
          <w:b/>
          <w:spacing w:val="-10"/>
          <w:kern w:val="0"/>
          <w:sz w:val="28"/>
          <w:szCs w:val="28"/>
          <w:highlight w:val="none"/>
        </w:rPr>
      </w:pPr>
      <w:r>
        <w:rPr>
          <w:rFonts w:hint="eastAsia" w:ascii="楷体_GB2312" w:eastAsia="楷体_GB2312"/>
          <w:b/>
          <w:spacing w:val="-10"/>
          <w:kern w:val="0"/>
          <w:sz w:val="28"/>
          <w:szCs w:val="28"/>
          <w:highlight w:val="none"/>
        </w:rPr>
        <w:t>二、声明和承诺</w:t>
      </w:r>
    </w:p>
    <w:p>
      <w:pPr>
        <w:snapToGrid w:val="0"/>
        <w:spacing w:line="360" w:lineRule="atLeast"/>
        <w:ind w:firstLine="422" w:firstLineChars="200"/>
        <w:rPr>
          <w:rFonts w:ascii="楷体_GB2312" w:eastAsia="楷体_GB2312"/>
          <w:b/>
          <w:szCs w:val="21"/>
          <w:highlight w:val="none"/>
        </w:rPr>
      </w:pPr>
      <w:r>
        <w:rPr>
          <w:rFonts w:hint="eastAsia" w:ascii="楷体_GB2312" w:eastAsia="楷体_GB2312"/>
          <w:b/>
          <w:szCs w:val="21"/>
          <w:highlight w:val="none"/>
        </w:rPr>
        <w:t>（一）管理人的声明和承诺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1、理财产品财产独立于管理人、托管人的自有财产，因理财产品财产的管理、运用、处分或者其他情形而取得的财产，均归入理财产品财产。</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管理人、托管人不得将银行理财产品财产归入其自有财产，因依法解散、被依法撤销或者被依法宣告破产等原因进行清算的，理财产品财产不属于其清算财产。</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2、管理人仅以理财产品财产为限对理财产品投资者承担责任，不承担以自有资金向产品投资者分配或垫付相应投资本金和收益的责任。</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常熟农商银行声明不以任何方式对投资者资产本金不受损失或取得最低收益作出承诺。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3、常熟农商银行是依法设立的金融经营机构，具有从事代客资产管理业务的资格。</w:t>
      </w:r>
    </w:p>
    <w:p>
      <w:pPr>
        <w:snapToGrid w:val="0"/>
        <w:spacing w:line="360" w:lineRule="exact"/>
        <w:ind w:firstLine="422" w:firstLineChars="200"/>
        <w:rPr>
          <w:rFonts w:ascii="楷体_GB2312" w:eastAsia="楷体_GB2312"/>
          <w:b/>
          <w:szCs w:val="21"/>
          <w:highlight w:val="none"/>
        </w:rPr>
      </w:pPr>
      <w:r>
        <w:rPr>
          <w:rFonts w:hint="eastAsia" w:ascii="楷体_GB2312" w:eastAsia="楷体_GB2312"/>
          <w:b/>
          <w:szCs w:val="21"/>
          <w:highlight w:val="none"/>
        </w:rPr>
        <w:t>（二）客户/投资者的声明和承诺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投资者签署本说明书即代表做出如下声明和承诺：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1、投资者具有合法的投资本理财产品的资格，不存在法律、行政法规和中国银保监会有关规定禁止或限制投资本理财产品的的情形。</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2、投资者保证以真实身份投资本理财产品，保证提供给管理人、托管人的信息和资料均真实、准确、完整、合法。如发生变更，应当及时书面告知管理人及托管人。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3、投资者保证理财资金的来源和用途合法。</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4、投资者签署和履行本理财产品合同系其真实意思表示。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5、投资者声明已听取了管理人指定的专人对相关业务规则和理财产品合同的讲解，已充分理解本理财产品合同，已清楚认知理财产品投资所存在的市场风险、管理风险、流动性风险等其他风险以及所投资品种的风险收益特征，已签署了管理人制作的风险揭示书，并承诺自行承担风险和损失。</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rPr>
        <w:t>6、投资者承认，管理人、托管人未对理财产品的本金及收益状况做出任何承诺或担保，理财产品合同约定的业绩比较基准仅是投资目标而不是管理人或托管人的保证。</w:t>
      </w:r>
    </w:p>
    <w:p>
      <w:pPr>
        <w:snapToGrid w:val="0"/>
        <w:spacing w:line="360" w:lineRule="exact"/>
        <w:ind w:firstLine="420" w:firstLineChars="200"/>
        <w:rPr>
          <w:rFonts w:hint="eastAsia" w:ascii="楷体_GB2312" w:eastAsia="楷体_GB2312"/>
          <w:szCs w:val="21"/>
          <w:highlight w:val="none"/>
        </w:rPr>
      </w:pPr>
    </w:p>
    <w:p>
      <w:pPr>
        <w:numPr>
          <w:ilvl w:val="0"/>
          <w:numId w:val="0"/>
        </w:numPr>
        <w:snapToGrid w:val="0"/>
        <w:spacing w:line="360" w:lineRule="atLeast"/>
        <w:ind w:left="0" w:firstLine="0"/>
        <w:jc w:val="center"/>
        <w:rPr>
          <w:rFonts w:hint="eastAsia" w:ascii="楷体_GB2312" w:eastAsia="楷体_GB2312"/>
          <w:b/>
          <w:spacing w:val="-10"/>
          <w:kern w:val="0"/>
          <w:sz w:val="28"/>
          <w:szCs w:val="28"/>
          <w:highlight w:val="none"/>
          <w:lang w:eastAsia="zh-CN"/>
        </w:rPr>
      </w:pPr>
      <w:r>
        <w:rPr>
          <w:rFonts w:hint="eastAsia" w:ascii="楷体_GB2312" w:eastAsia="楷体_GB2312"/>
          <w:b/>
          <w:spacing w:val="-10"/>
          <w:kern w:val="0"/>
          <w:sz w:val="28"/>
          <w:szCs w:val="28"/>
          <w:highlight w:val="none"/>
          <w:lang w:eastAsia="zh-CN"/>
        </w:rPr>
        <w:t>三、产品的申购和赎回</w:t>
      </w:r>
    </w:p>
    <w:p>
      <w:pPr>
        <w:spacing w:line="360" w:lineRule="exact"/>
        <w:ind w:firstLine="359" w:firstLineChars="171"/>
        <w:rPr>
          <w:rFonts w:eastAsia="楷体_GB2312"/>
          <w:szCs w:val="21"/>
          <w:highlight w:val="none"/>
        </w:rPr>
      </w:pPr>
      <w:r>
        <w:rPr>
          <w:rFonts w:hint="eastAsia" w:eastAsia="楷体_GB2312"/>
          <w:szCs w:val="21"/>
          <w:highlight w:val="none"/>
        </w:rPr>
        <w:t>产品的申购、赎回自产品</w:t>
      </w:r>
      <w:r>
        <w:rPr>
          <w:rFonts w:hint="eastAsia" w:eastAsia="楷体_GB2312"/>
          <w:szCs w:val="21"/>
          <w:highlight w:val="none"/>
          <w:lang w:eastAsia="zh-CN"/>
        </w:rPr>
        <w:t>申购</w:t>
      </w:r>
      <w:r>
        <w:rPr>
          <w:rFonts w:hint="eastAsia" w:eastAsia="楷体_GB2312"/>
          <w:szCs w:val="21"/>
          <w:highlight w:val="none"/>
          <w:lang w:val="en-US" w:eastAsia="zh-CN"/>
        </w:rPr>
        <w:t>/赎回</w:t>
      </w:r>
      <w:r>
        <w:rPr>
          <w:rFonts w:hint="eastAsia" w:eastAsia="楷体_GB2312"/>
          <w:szCs w:val="21"/>
          <w:highlight w:val="none"/>
        </w:rPr>
        <w:t>开放期开始办理。产品管理人可根据情况变更或增减产品的销售渠道、方式（包括但不限于常熟农商银行营业网点、网上银行、手机银行等电子化销售渠道）。</w:t>
      </w:r>
    </w:p>
    <w:p>
      <w:pPr>
        <w:spacing w:line="360" w:lineRule="exact"/>
        <w:ind w:firstLine="361" w:firstLineChars="171"/>
        <w:rPr>
          <w:rFonts w:eastAsia="楷体_GB2312"/>
          <w:b/>
          <w:szCs w:val="21"/>
          <w:highlight w:val="none"/>
        </w:rPr>
      </w:pPr>
      <w:r>
        <w:rPr>
          <w:rFonts w:hint="eastAsia" w:eastAsia="楷体_GB2312"/>
          <w:b/>
          <w:szCs w:val="21"/>
          <w:highlight w:val="none"/>
          <w:lang w:eastAsia="zh-CN"/>
        </w:rPr>
        <w:t>（一）</w:t>
      </w:r>
      <w:r>
        <w:rPr>
          <w:rFonts w:hint="eastAsia" w:eastAsia="楷体_GB2312"/>
          <w:b/>
          <w:szCs w:val="21"/>
          <w:highlight w:val="none"/>
        </w:rPr>
        <w:t>申购</w:t>
      </w:r>
    </w:p>
    <w:p>
      <w:pPr>
        <w:spacing w:line="360" w:lineRule="exact"/>
        <w:ind w:firstLine="359" w:firstLineChars="171"/>
        <w:rPr>
          <w:rFonts w:eastAsia="楷体_GB2312"/>
          <w:szCs w:val="21"/>
          <w:highlight w:val="none"/>
        </w:rPr>
      </w:pPr>
      <w:r>
        <w:rPr>
          <w:rFonts w:hint="eastAsia" w:eastAsia="楷体_GB2312"/>
          <w:szCs w:val="21"/>
          <w:highlight w:val="none"/>
        </w:rPr>
        <w:t>产品投资</w:t>
      </w:r>
      <w:r>
        <w:rPr>
          <w:rFonts w:hint="eastAsia" w:eastAsia="楷体_GB2312"/>
          <w:szCs w:val="21"/>
          <w:highlight w:val="none"/>
          <w:lang w:eastAsia="zh-CN"/>
        </w:rPr>
        <w:t>者</w:t>
      </w:r>
      <w:r>
        <w:rPr>
          <w:rFonts w:hint="eastAsia" w:eastAsia="楷体_GB2312"/>
          <w:szCs w:val="21"/>
          <w:highlight w:val="none"/>
        </w:rPr>
        <w:t>必须根据产品管理人规定的手续，在</w:t>
      </w:r>
      <w:r>
        <w:rPr>
          <w:rFonts w:hint="eastAsia" w:eastAsia="楷体_GB2312"/>
          <w:szCs w:val="21"/>
          <w:highlight w:val="none"/>
          <w:lang w:eastAsia="zh-CN"/>
        </w:rPr>
        <w:t>申购</w:t>
      </w:r>
      <w:r>
        <w:rPr>
          <w:rFonts w:hint="eastAsia" w:eastAsia="楷体_GB2312"/>
          <w:szCs w:val="21"/>
          <w:highlight w:val="none"/>
        </w:rPr>
        <w:t>开放期的业务办理时间提出申购申请。投资</w:t>
      </w:r>
      <w:r>
        <w:rPr>
          <w:rFonts w:hint="eastAsia" w:eastAsia="楷体_GB2312"/>
          <w:szCs w:val="21"/>
          <w:highlight w:val="none"/>
          <w:lang w:eastAsia="zh-CN"/>
        </w:rPr>
        <w:t>者</w:t>
      </w:r>
      <w:r>
        <w:rPr>
          <w:rFonts w:hint="eastAsia" w:eastAsia="楷体_GB2312"/>
          <w:szCs w:val="21"/>
          <w:highlight w:val="none"/>
        </w:rPr>
        <w:t>在提交申购申请时，须按产品管理人规定的方式备足申购资金。</w:t>
      </w:r>
    </w:p>
    <w:p>
      <w:pPr>
        <w:spacing w:line="360" w:lineRule="exact"/>
        <w:ind w:firstLine="359" w:firstLineChars="171"/>
        <w:rPr>
          <w:rFonts w:eastAsia="楷体_GB2312"/>
          <w:szCs w:val="21"/>
          <w:highlight w:val="none"/>
        </w:rPr>
      </w:pPr>
      <w:r>
        <w:rPr>
          <w:rFonts w:hint="eastAsia" w:eastAsia="楷体_GB2312"/>
          <w:szCs w:val="21"/>
          <w:highlight w:val="none"/>
        </w:rPr>
        <w:t>申购采用全额缴款方式，若申购不成功或无效，产品管理人或产品管理人指定的销售机构将投资</w:t>
      </w:r>
      <w:r>
        <w:rPr>
          <w:rFonts w:hint="eastAsia" w:eastAsia="楷体_GB2312"/>
          <w:szCs w:val="21"/>
          <w:highlight w:val="none"/>
          <w:lang w:eastAsia="zh-CN"/>
        </w:rPr>
        <w:t>者</w:t>
      </w:r>
      <w:r>
        <w:rPr>
          <w:rFonts w:hint="eastAsia" w:eastAsia="楷体_GB2312"/>
          <w:szCs w:val="21"/>
          <w:highlight w:val="none"/>
        </w:rPr>
        <w:t>已缴付的申购款项退还给投资</w:t>
      </w:r>
      <w:r>
        <w:rPr>
          <w:rFonts w:hint="eastAsia" w:eastAsia="楷体_GB2312"/>
          <w:szCs w:val="21"/>
          <w:highlight w:val="none"/>
          <w:lang w:eastAsia="zh-CN"/>
        </w:rPr>
        <w:t>者，或将投资者申购款项予以解除冻结</w:t>
      </w:r>
      <w:r>
        <w:rPr>
          <w:rFonts w:hint="eastAsia" w:eastAsia="楷体_GB2312"/>
          <w:szCs w:val="21"/>
          <w:highlight w:val="none"/>
        </w:rPr>
        <w:t>。投资者理财资金在扣划之前按产品管理人公布的人民币活期储蓄存款利率计息，该等利息不作为申购资金扣收。</w:t>
      </w:r>
    </w:p>
    <w:p>
      <w:pPr>
        <w:spacing w:line="360" w:lineRule="exact"/>
        <w:ind w:firstLine="359" w:firstLineChars="171"/>
        <w:rPr>
          <w:rFonts w:hint="eastAsia" w:eastAsia="楷体_GB2312"/>
          <w:szCs w:val="21"/>
          <w:highlight w:val="none"/>
        </w:rPr>
      </w:pPr>
      <w:r>
        <w:rPr>
          <w:rFonts w:hint="eastAsia" w:eastAsia="楷体_GB2312"/>
          <w:szCs w:val="21"/>
          <w:highlight w:val="none"/>
        </w:rPr>
        <w:t>产品管理人可根据市场情况调整有关申购程序和数额限制以及在销售机构保留的最低份额限制，但应最迟在调整成立前三个工作日进行信息披露。</w:t>
      </w:r>
    </w:p>
    <w:p>
      <w:pPr>
        <w:spacing w:line="360" w:lineRule="exact"/>
        <w:ind w:firstLine="359" w:firstLineChars="171"/>
        <w:rPr>
          <w:rFonts w:eastAsia="楷体_GB2312"/>
          <w:szCs w:val="21"/>
          <w:highlight w:val="none"/>
        </w:rPr>
      </w:pPr>
      <w:r>
        <w:rPr>
          <w:rFonts w:hint="eastAsia" w:eastAsia="楷体_GB2312"/>
          <w:szCs w:val="21"/>
          <w:highlight w:val="none"/>
        </w:rPr>
        <w:t>在如下情况下，产品管理人可以拒绝或暂停接受投资人的申购申请：</w:t>
      </w:r>
    </w:p>
    <w:p>
      <w:pPr>
        <w:spacing w:line="360" w:lineRule="exact"/>
        <w:ind w:firstLine="359" w:firstLineChars="171"/>
        <w:rPr>
          <w:rFonts w:eastAsia="楷体_GB2312"/>
          <w:szCs w:val="21"/>
          <w:highlight w:val="none"/>
        </w:rPr>
      </w:pPr>
      <w:r>
        <w:rPr>
          <w:rFonts w:hint="eastAsia" w:eastAsia="楷体_GB2312"/>
          <w:szCs w:val="21"/>
          <w:highlight w:val="none"/>
        </w:rPr>
        <w:t>1、因不可抗力导致产品管理人无法接受投资人的申购申请；</w:t>
      </w:r>
    </w:p>
    <w:p>
      <w:pPr>
        <w:spacing w:line="360" w:lineRule="exact"/>
        <w:ind w:firstLine="359" w:firstLineChars="171"/>
        <w:rPr>
          <w:rFonts w:eastAsia="楷体_GB2312"/>
          <w:szCs w:val="21"/>
          <w:highlight w:val="none"/>
        </w:rPr>
      </w:pPr>
      <w:r>
        <w:rPr>
          <w:rFonts w:hint="eastAsia" w:eastAsia="楷体_GB2312"/>
          <w:szCs w:val="21"/>
          <w:highlight w:val="none"/>
        </w:rPr>
        <w:t>2、发生本产品说明书规定的暂停产品资产估值的情况；</w:t>
      </w:r>
    </w:p>
    <w:p>
      <w:pPr>
        <w:spacing w:line="360" w:lineRule="exact"/>
        <w:ind w:firstLine="359" w:firstLineChars="171"/>
        <w:rPr>
          <w:rFonts w:eastAsia="楷体_GB2312"/>
          <w:szCs w:val="21"/>
          <w:highlight w:val="none"/>
        </w:rPr>
      </w:pPr>
      <w:r>
        <w:rPr>
          <w:rFonts w:hint="eastAsia" w:eastAsia="楷体_GB2312"/>
          <w:szCs w:val="21"/>
          <w:highlight w:val="none"/>
        </w:rPr>
        <w:t>3、其它可能对产品业绩或流动性产生负面影响，从而损害现有产品</w:t>
      </w:r>
      <w:r>
        <w:rPr>
          <w:rFonts w:hint="eastAsia" w:eastAsia="楷体_GB2312"/>
          <w:szCs w:val="21"/>
          <w:highlight w:val="none"/>
          <w:lang w:eastAsia="zh-CN"/>
        </w:rPr>
        <w:t>投资者</w:t>
      </w:r>
      <w:r>
        <w:rPr>
          <w:rFonts w:hint="eastAsia" w:eastAsia="楷体_GB2312"/>
          <w:szCs w:val="21"/>
          <w:highlight w:val="none"/>
        </w:rPr>
        <w:t>的利益的情形；</w:t>
      </w:r>
    </w:p>
    <w:p>
      <w:pPr>
        <w:spacing w:line="360" w:lineRule="exact"/>
        <w:ind w:firstLine="359" w:firstLineChars="171"/>
        <w:rPr>
          <w:rFonts w:eastAsia="楷体_GB2312"/>
          <w:szCs w:val="21"/>
          <w:highlight w:val="none"/>
        </w:rPr>
      </w:pPr>
      <w:r>
        <w:rPr>
          <w:rFonts w:hint="eastAsia" w:eastAsia="楷体_GB2312"/>
          <w:szCs w:val="21"/>
          <w:highlight w:val="none"/>
        </w:rPr>
        <w:t>4、法律、法规规定或</w:t>
      </w:r>
      <w:r>
        <w:rPr>
          <w:rFonts w:hint="eastAsia" w:eastAsia="楷体_GB2312"/>
          <w:szCs w:val="21"/>
          <w:highlight w:val="none"/>
          <w:lang w:eastAsia="zh-CN"/>
        </w:rPr>
        <w:t>中国银保监会</w:t>
      </w:r>
      <w:r>
        <w:rPr>
          <w:rFonts w:hint="eastAsia" w:eastAsia="楷体_GB2312"/>
          <w:szCs w:val="21"/>
          <w:highlight w:val="none"/>
        </w:rPr>
        <w:t>认定的其它情形。</w:t>
      </w:r>
    </w:p>
    <w:p>
      <w:pPr>
        <w:spacing w:line="360" w:lineRule="exact"/>
        <w:ind w:firstLine="359" w:firstLineChars="171"/>
        <w:rPr>
          <w:rFonts w:eastAsia="楷体_GB2312"/>
          <w:szCs w:val="21"/>
          <w:highlight w:val="none"/>
        </w:rPr>
      </w:pPr>
      <w:r>
        <w:rPr>
          <w:rFonts w:hint="eastAsia" w:eastAsia="楷体_GB2312"/>
          <w:szCs w:val="21"/>
          <w:highlight w:val="none"/>
        </w:rPr>
        <w:t>如发生上述拒绝申购的情形，被拒绝的申购款项应全额退还投资</w:t>
      </w:r>
      <w:r>
        <w:rPr>
          <w:rFonts w:hint="eastAsia" w:eastAsia="楷体_GB2312"/>
          <w:szCs w:val="21"/>
          <w:highlight w:val="none"/>
          <w:lang w:eastAsia="zh-CN"/>
        </w:rPr>
        <w:t>者</w:t>
      </w:r>
      <w:r>
        <w:rPr>
          <w:rFonts w:hint="eastAsia" w:eastAsia="楷体_GB2312"/>
          <w:szCs w:val="21"/>
          <w:highlight w:val="none"/>
        </w:rPr>
        <w:t>。</w:t>
      </w:r>
    </w:p>
    <w:p>
      <w:pPr>
        <w:spacing w:line="360" w:lineRule="exact"/>
        <w:ind w:firstLine="359" w:firstLineChars="171"/>
        <w:rPr>
          <w:rFonts w:eastAsia="楷体_GB2312"/>
          <w:szCs w:val="21"/>
          <w:highlight w:val="none"/>
        </w:rPr>
      </w:pPr>
      <w:r>
        <w:rPr>
          <w:rFonts w:hint="eastAsia" w:eastAsia="楷体_GB2312"/>
          <w:szCs w:val="21"/>
          <w:highlight w:val="none"/>
        </w:rPr>
        <w:t>管理人拒绝或暂停接受申购的方式包括：</w:t>
      </w:r>
    </w:p>
    <w:p>
      <w:pPr>
        <w:spacing w:line="360" w:lineRule="exact"/>
        <w:ind w:firstLine="359" w:firstLineChars="171"/>
        <w:rPr>
          <w:rFonts w:eastAsia="楷体_GB2312"/>
          <w:szCs w:val="21"/>
          <w:highlight w:val="none"/>
        </w:rPr>
      </w:pPr>
      <w:r>
        <w:rPr>
          <w:rFonts w:hint="eastAsia" w:eastAsia="楷体_GB2312"/>
          <w:szCs w:val="21"/>
          <w:highlight w:val="none"/>
        </w:rPr>
        <w:t>1、拒绝接受、暂停接受某笔或某数笔申购申请；</w:t>
      </w:r>
    </w:p>
    <w:p>
      <w:pPr>
        <w:spacing w:line="360" w:lineRule="exact"/>
        <w:ind w:firstLine="359" w:firstLineChars="171"/>
        <w:rPr>
          <w:rFonts w:eastAsia="楷体_GB2312"/>
          <w:szCs w:val="21"/>
          <w:highlight w:val="none"/>
        </w:rPr>
      </w:pPr>
      <w:r>
        <w:rPr>
          <w:rFonts w:hint="eastAsia" w:eastAsia="楷体_GB2312"/>
          <w:szCs w:val="21"/>
          <w:highlight w:val="none"/>
        </w:rPr>
        <w:t>2、拒绝接受、暂停接受某个或某数个工作日的全部申购申请；</w:t>
      </w:r>
    </w:p>
    <w:p>
      <w:pPr>
        <w:spacing w:line="360" w:lineRule="exact"/>
        <w:ind w:firstLine="359" w:firstLineChars="171"/>
        <w:rPr>
          <w:rFonts w:eastAsia="楷体_GB2312"/>
          <w:szCs w:val="21"/>
          <w:highlight w:val="none"/>
        </w:rPr>
      </w:pPr>
      <w:r>
        <w:rPr>
          <w:rFonts w:hint="eastAsia" w:eastAsia="楷体_GB2312"/>
          <w:szCs w:val="21"/>
          <w:highlight w:val="none"/>
        </w:rPr>
        <w:t>3、按比例拒绝接受、暂停接受某个或某数个工作日的申购申请。</w:t>
      </w:r>
    </w:p>
    <w:p>
      <w:pPr>
        <w:spacing w:line="360" w:lineRule="exact"/>
        <w:ind w:firstLine="359" w:firstLineChars="171"/>
        <w:rPr>
          <w:rFonts w:hint="eastAsia" w:eastAsia="楷体_GB2312"/>
          <w:szCs w:val="21"/>
          <w:highlight w:val="none"/>
        </w:rPr>
      </w:pPr>
    </w:p>
    <w:p>
      <w:pPr>
        <w:spacing w:line="360" w:lineRule="exact"/>
        <w:ind w:firstLine="359" w:firstLineChars="171"/>
        <w:rPr>
          <w:rFonts w:eastAsia="楷体_GB2312"/>
          <w:b/>
          <w:szCs w:val="21"/>
          <w:highlight w:val="none"/>
        </w:rPr>
      </w:pPr>
      <w:r>
        <w:rPr>
          <w:rFonts w:hint="eastAsia" w:eastAsia="楷体_GB2312"/>
          <w:szCs w:val="21"/>
          <w:highlight w:val="none"/>
          <w:lang w:eastAsia="zh-CN"/>
        </w:rPr>
        <w:t>（</w:t>
      </w:r>
      <w:r>
        <w:rPr>
          <w:rFonts w:hint="eastAsia" w:eastAsia="楷体_GB2312"/>
          <w:b/>
          <w:szCs w:val="21"/>
          <w:highlight w:val="none"/>
          <w:lang w:eastAsia="zh-CN"/>
        </w:rPr>
        <w:t>二）</w:t>
      </w:r>
      <w:r>
        <w:rPr>
          <w:rFonts w:hint="eastAsia" w:eastAsia="楷体_GB2312"/>
          <w:b/>
          <w:szCs w:val="21"/>
          <w:highlight w:val="none"/>
        </w:rPr>
        <w:t>赎回</w:t>
      </w:r>
    </w:p>
    <w:p>
      <w:pPr>
        <w:spacing w:line="360" w:lineRule="exact"/>
        <w:ind w:firstLine="359" w:firstLineChars="171"/>
        <w:rPr>
          <w:rFonts w:eastAsia="楷体_GB2312"/>
          <w:szCs w:val="21"/>
          <w:highlight w:val="none"/>
        </w:rPr>
      </w:pPr>
      <w:r>
        <w:rPr>
          <w:rFonts w:hint="eastAsia" w:eastAsia="楷体_GB2312"/>
          <w:szCs w:val="21"/>
          <w:highlight w:val="none"/>
        </w:rPr>
        <w:t>产品投资</w:t>
      </w:r>
      <w:r>
        <w:rPr>
          <w:rFonts w:hint="eastAsia" w:eastAsia="楷体_GB2312"/>
          <w:szCs w:val="21"/>
          <w:highlight w:val="none"/>
          <w:lang w:eastAsia="zh-CN"/>
        </w:rPr>
        <w:t>者</w:t>
      </w:r>
      <w:r>
        <w:rPr>
          <w:rFonts w:hint="eastAsia" w:eastAsia="楷体_GB2312"/>
          <w:szCs w:val="21"/>
          <w:highlight w:val="none"/>
        </w:rPr>
        <w:t>必须根据产品管理人规定的手续，在</w:t>
      </w:r>
      <w:r>
        <w:rPr>
          <w:rFonts w:hint="eastAsia" w:eastAsia="楷体_GB2312"/>
          <w:szCs w:val="21"/>
          <w:highlight w:val="none"/>
          <w:lang w:eastAsia="zh-CN"/>
        </w:rPr>
        <w:t>赎回</w:t>
      </w:r>
      <w:r>
        <w:rPr>
          <w:rFonts w:hint="eastAsia" w:eastAsia="楷体_GB2312"/>
          <w:szCs w:val="21"/>
          <w:highlight w:val="none"/>
        </w:rPr>
        <w:t>开放期的业务办理时间提出赎回申请。投资</w:t>
      </w:r>
      <w:r>
        <w:rPr>
          <w:rFonts w:hint="eastAsia" w:eastAsia="楷体_GB2312"/>
          <w:szCs w:val="21"/>
          <w:highlight w:val="none"/>
          <w:lang w:eastAsia="zh-CN"/>
        </w:rPr>
        <w:t>者</w:t>
      </w:r>
      <w:r>
        <w:rPr>
          <w:rFonts w:hint="eastAsia" w:eastAsia="楷体_GB2312"/>
          <w:szCs w:val="21"/>
          <w:highlight w:val="none"/>
        </w:rPr>
        <w:t>提交赎回申请时，其必须保有足够的产品份额余额。</w:t>
      </w:r>
    </w:p>
    <w:p>
      <w:pPr>
        <w:spacing w:line="360" w:lineRule="exact"/>
        <w:ind w:firstLine="359" w:firstLineChars="171"/>
        <w:rPr>
          <w:rFonts w:hint="eastAsia" w:eastAsia="楷体_GB2312"/>
          <w:szCs w:val="21"/>
          <w:highlight w:val="none"/>
        </w:rPr>
      </w:pPr>
      <w:r>
        <w:rPr>
          <w:rFonts w:hint="eastAsia" w:eastAsia="楷体_GB2312"/>
          <w:szCs w:val="21"/>
          <w:highlight w:val="none"/>
        </w:rPr>
        <w:t>投资</w:t>
      </w:r>
      <w:r>
        <w:rPr>
          <w:rFonts w:hint="eastAsia" w:eastAsia="楷体_GB2312"/>
          <w:szCs w:val="21"/>
          <w:highlight w:val="none"/>
          <w:lang w:eastAsia="zh-CN"/>
        </w:rPr>
        <w:t>者</w:t>
      </w:r>
      <w:r>
        <w:rPr>
          <w:rFonts w:hint="eastAsia" w:eastAsia="楷体_GB2312"/>
          <w:szCs w:val="21"/>
          <w:highlight w:val="none"/>
        </w:rPr>
        <w:t>可将其全部或部分产品份额赎回。</w:t>
      </w:r>
      <w:r>
        <w:rPr>
          <w:rFonts w:hint="eastAsia" w:eastAsia="楷体_GB2312"/>
          <w:szCs w:val="21"/>
          <w:highlight w:val="none"/>
          <w:lang w:eastAsia="zh-CN"/>
        </w:rPr>
        <w:t>若某笔赎回导致投资者的产品余额低于</w:t>
      </w:r>
      <w:r>
        <w:rPr>
          <w:rFonts w:hint="eastAsia" w:ascii="楷体_GB2312" w:hAnsi="Times New Roman" w:eastAsia="楷体_GB2312"/>
          <w:b/>
          <w:bCs w:val="0"/>
          <w:sz w:val="21"/>
          <w:highlight w:val="none"/>
          <w:lang w:eastAsia="zh-CN"/>
        </w:rPr>
        <w:t>最低保留份额要求</w:t>
      </w:r>
      <w:r>
        <w:rPr>
          <w:rFonts w:hint="eastAsia" w:eastAsia="楷体_GB2312"/>
          <w:szCs w:val="21"/>
          <w:highlight w:val="none"/>
        </w:rPr>
        <w:t>，产品管理人将投资</w:t>
      </w:r>
      <w:r>
        <w:rPr>
          <w:rFonts w:hint="eastAsia" w:eastAsia="楷体_GB2312"/>
          <w:szCs w:val="21"/>
          <w:highlight w:val="none"/>
          <w:lang w:eastAsia="zh-CN"/>
        </w:rPr>
        <w:t>者</w:t>
      </w:r>
      <w:r>
        <w:rPr>
          <w:rFonts w:hint="eastAsia" w:eastAsia="楷体_GB2312"/>
          <w:szCs w:val="21"/>
          <w:highlight w:val="none"/>
        </w:rPr>
        <w:t>的产品剩余份额一次性全部赎回。</w:t>
      </w:r>
    </w:p>
    <w:p>
      <w:pPr>
        <w:spacing w:line="360" w:lineRule="exact"/>
        <w:ind w:firstLine="359" w:firstLineChars="171"/>
        <w:rPr>
          <w:rFonts w:eastAsia="楷体_GB2312"/>
          <w:szCs w:val="21"/>
          <w:highlight w:val="none"/>
        </w:rPr>
      </w:pPr>
      <w:r>
        <w:rPr>
          <w:rFonts w:hint="eastAsia" w:eastAsia="楷体_GB2312"/>
          <w:szCs w:val="21"/>
          <w:highlight w:val="none"/>
        </w:rPr>
        <w:t>产品管理人可根据市场情况调整有关赎回程序和数额限制以及在产品管理人保留的最低份额限制，但应最迟在调整成立前三个工作日进行信息披露。</w:t>
      </w:r>
    </w:p>
    <w:p>
      <w:pPr>
        <w:spacing w:line="360" w:lineRule="exact"/>
        <w:ind w:firstLine="359" w:firstLineChars="171"/>
        <w:rPr>
          <w:rFonts w:eastAsia="楷体_GB2312"/>
          <w:szCs w:val="21"/>
          <w:highlight w:val="none"/>
        </w:rPr>
      </w:pPr>
      <w:r>
        <w:rPr>
          <w:rFonts w:hint="eastAsia" w:eastAsia="楷体_GB2312"/>
          <w:szCs w:val="21"/>
          <w:highlight w:val="none"/>
        </w:rPr>
        <w:t>产品赎回金额的计算如下:</w:t>
      </w:r>
    </w:p>
    <w:p>
      <w:pPr>
        <w:spacing w:line="360" w:lineRule="exact"/>
        <w:ind w:firstLine="359" w:firstLineChars="171"/>
        <w:rPr>
          <w:rFonts w:eastAsia="楷体_GB2312"/>
          <w:szCs w:val="21"/>
          <w:highlight w:val="none"/>
        </w:rPr>
      </w:pPr>
      <w:r>
        <w:rPr>
          <w:rFonts w:hint="eastAsia" w:ascii="宋体" w:hAnsi="宋体" w:cs="宋体"/>
          <w:szCs w:val="21"/>
          <w:highlight w:val="none"/>
        </w:rPr>
        <w:t>•</w:t>
      </w:r>
      <w:r>
        <w:rPr>
          <w:rFonts w:hint="eastAsia" w:eastAsia="楷体_GB2312"/>
          <w:szCs w:val="21"/>
          <w:highlight w:val="none"/>
        </w:rPr>
        <w:t>赎回金额＝赎回份数×清算确认日日终产品单位净值</w:t>
      </w:r>
    </w:p>
    <w:p>
      <w:pPr>
        <w:spacing w:line="360" w:lineRule="exact"/>
        <w:ind w:firstLine="359" w:firstLineChars="171"/>
        <w:rPr>
          <w:rFonts w:eastAsia="楷体_GB2312"/>
          <w:szCs w:val="21"/>
          <w:highlight w:val="none"/>
        </w:rPr>
      </w:pPr>
      <w:r>
        <w:rPr>
          <w:rFonts w:hint="eastAsia" w:ascii="宋体" w:hAnsi="宋体" w:cs="宋体"/>
          <w:szCs w:val="21"/>
          <w:highlight w:val="none"/>
        </w:rPr>
        <w:t>•</w:t>
      </w:r>
      <w:r>
        <w:rPr>
          <w:rFonts w:hint="eastAsia" w:eastAsia="楷体_GB2312"/>
          <w:szCs w:val="21"/>
          <w:highlight w:val="none"/>
        </w:rPr>
        <w:t>赎回金额保留至小数点后两位，小数点后两位以下四舍五入。</w:t>
      </w:r>
    </w:p>
    <w:p>
      <w:pPr>
        <w:spacing w:line="360" w:lineRule="exact"/>
        <w:ind w:firstLine="359" w:firstLineChars="171"/>
        <w:rPr>
          <w:rFonts w:eastAsia="楷体_GB2312"/>
          <w:szCs w:val="21"/>
          <w:highlight w:val="none"/>
        </w:rPr>
      </w:pPr>
      <w:r>
        <w:rPr>
          <w:rFonts w:hint="eastAsia" w:eastAsia="楷体_GB2312"/>
          <w:szCs w:val="21"/>
          <w:highlight w:val="none"/>
        </w:rPr>
        <w:t>例：假设某投资者赎回本产品100,000份产品份额，持有时间为</w:t>
      </w:r>
      <w:r>
        <w:rPr>
          <w:rFonts w:hint="eastAsia" w:eastAsia="楷体_GB2312"/>
          <w:szCs w:val="21"/>
          <w:highlight w:val="none"/>
          <w:lang w:val="en-US" w:eastAsia="zh-CN"/>
        </w:rPr>
        <w:t>360</w:t>
      </w:r>
      <w:r>
        <w:rPr>
          <w:rFonts w:hint="eastAsia" w:eastAsia="楷体_GB2312"/>
          <w:szCs w:val="21"/>
          <w:highlight w:val="none"/>
        </w:rPr>
        <w:t>天，假设赎回当日产品单位净值是1.0</w:t>
      </w:r>
      <w:r>
        <w:rPr>
          <w:rFonts w:hint="eastAsia" w:eastAsia="楷体_GB2312"/>
          <w:szCs w:val="21"/>
          <w:highlight w:val="none"/>
          <w:lang w:val="en-US" w:eastAsia="zh-CN"/>
        </w:rPr>
        <w:t>5</w:t>
      </w:r>
      <w:r>
        <w:rPr>
          <w:rFonts w:hint="eastAsia" w:eastAsia="楷体_GB2312"/>
          <w:szCs w:val="21"/>
          <w:highlight w:val="none"/>
        </w:rPr>
        <w:t>元，则其可得到的赎回金额为：</w:t>
      </w:r>
    </w:p>
    <w:p>
      <w:pPr>
        <w:spacing w:line="360" w:lineRule="exact"/>
        <w:ind w:firstLine="359" w:firstLineChars="171"/>
        <w:rPr>
          <w:rFonts w:eastAsia="楷体_GB2312"/>
          <w:szCs w:val="21"/>
          <w:highlight w:val="none"/>
        </w:rPr>
      </w:pPr>
      <w:r>
        <w:rPr>
          <w:rFonts w:hint="eastAsia" w:eastAsia="楷体_GB2312"/>
          <w:szCs w:val="21"/>
          <w:highlight w:val="none"/>
        </w:rPr>
        <w:t>赎回金额=100,000×1.0</w:t>
      </w:r>
      <w:r>
        <w:rPr>
          <w:rFonts w:hint="eastAsia" w:eastAsia="楷体_GB2312"/>
          <w:szCs w:val="21"/>
          <w:highlight w:val="none"/>
          <w:lang w:val="en-US" w:eastAsia="zh-CN"/>
        </w:rPr>
        <w:t>5</w:t>
      </w:r>
      <w:r>
        <w:rPr>
          <w:rFonts w:hint="eastAsia" w:eastAsia="楷体_GB2312"/>
          <w:szCs w:val="21"/>
          <w:highlight w:val="none"/>
        </w:rPr>
        <w:t>=10</w:t>
      </w:r>
      <w:r>
        <w:rPr>
          <w:rFonts w:hint="eastAsia" w:eastAsia="楷体_GB2312"/>
          <w:szCs w:val="21"/>
          <w:highlight w:val="none"/>
          <w:lang w:val="en-US" w:eastAsia="zh-CN"/>
        </w:rPr>
        <w:t>5</w:t>
      </w:r>
      <w:r>
        <w:rPr>
          <w:rFonts w:hint="eastAsia" w:eastAsia="楷体_GB2312"/>
          <w:szCs w:val="21"/>
          <w:highlight w:val="none"/>
        </w:rPr>
        <w:t>,000元</w:t>
      </w:r>
    </w:p>
    <w:p>
      <w:pPr>
        <w:spacing w:line="360" w:lineRule="exact"/>
        <w:ind w:firstLine="359" w:firstLineChars="171"/>
        <w:rPr>
          <w:rFonts w:eastAsia="楷体_GB2312"/>
          <w:szCs w:val="21"/>
          <w:highlight w:val="none"/>
        </w:rPr>
      </w:pPr>
      <w:r>
        <w:rPr>
          <w:rFonts w:hint="eastAsia" w:eastAsia="楷体_GB2312"/>
          <w:szCs w:val="21"/>
          <w:highlight w:val="none"/>
        </w:rPr>
        <w:t>即：投资者赎回本产品10万份产品份额，假设赎回当日产品单位净值是1.0</w:t>
      </w:r>
      <w:r>
        <w:rPr>
          <w:rFonts w:hint="eastAsia" w:eastAsia="楷体_GB2312"/>
          <w:szCs w:val="21"/>
          <w:highlight w:val="none"/>
          <w:lang w:val="en-US" w:eastAsia="zh-CN"/>
        </w:rPr>
        <w:t>5</w:t>
      </w:r>
      <w:r>
        <w:rPr>
          <w:rFonts w:hint="eastAsia" w:eastAsia="楷体_GB2312"/>
          <w:szCs w:val="21"/>
          <w:highlight w:val="none"/>
        </w:rPr>
        <w:t>元，则其可得到的赎回金额为10</w:t>
      </w:r>
      <w:r>
        <w:rPr>
          <w:rFonts w:hint="eastAsia" w:eastAsia="楷体_GB2312"/>
          <w:szCs w:val="21"/>
          <w:highlight w:val="none"/>
          <w:lang w:val="en-US" w:eastAsia="zh-CN"/>
        </w:rPr>
        <w:t>5</w:t>
      </w:r>
      <w:r>
        <w:rPr>
          <w:rFonts w:hint="eastAsia" w:eastAsia="楷体_GB2312"/>
          <w:szCs w:val="21"/>
          <w:highlight w:val="none"/>
        </w:rPr>
        <w:t>,000元。</w:t>
      </w:r>
    </w:p>
    <w:p>
      <w:pPr>
        <w:spacing w:line="360" w:lineRule="exact"/>
        <w:ind w:firstLine="359" w:firstLineChars="171"/>
        <w:rPr>
          <w:rFonts w:eastAsia="楷体_GB2312"/>
          <w:szCs w:val="21"/>
          <w:highlight w:val="none"/>
        </w:rPr>
      </w:pPr>
    </w:p>
    <w:p>
      <w:pPr>
        <w:spacing w:line="360" w:lineRule="exact"/>
        <w:ind w:firstLine="361" w:firstLineChars="171"/>
        <w:rPr>
          <w:rFonts w:eastAsia="楷体_GB2312"/>
          <w:b/>
          <w:szCs w:val="21"/>
          <w:highlight w:val="none"/>
        </w:rPr>
      </w:pPr>
      <w:r>
        <w:rPr>
          <w:rFonts w:hint="eastAsia" w:eastAsia="楷体_GB2312"/>
          <w:b/>
          <w:szCs w:val="21"/>
          <w:highlight w:val="none"/>
        </w:rPr>
        <w:t>巨额赎回的认定及处理方式</w:t>
      </w:r>
    </w:p>
    <w:p>
      <w:pPr>
        <w:spacing w:line="360" w:lineRule="exact"/>
        <w:ind w:firstLine="359" w:firstLineChars="171"/>
        <w:rPr>
          <w:rFonts w:eastAsia="楷体_GB2312"/>
          <w:szCs w:val="21"/>
          <w:highlight w:val="none"/>
        </w:rPr>
      </w:pPr>
      <w:r>
        <w:rPr>
          <w:rFonts w:hint="eastAsia" w:eastAsia="楷体_GB2312"/>
          <w:szCs w:val="21"/>
          <w:highlight w:val="none"/>
        </w:rPr>
        <w:t>在</w:t>
      </w:r>
      <w:r>
        <w:rPr>
          <w:rFonts w:hint="eastAsia" w:eastAsia="楷体_GB2312"/>
          <w:szCs w:val="21"/>
          <w:highlight w:val="none"/>
          <w:lang w:eastAsia="zh-CN"/>
        </w:rPr>
        <w:t>赎回</w:t>
      </w:r>
      <w:r>
        <w:rPr>
          <w:rFonts w:hint="eastAsia" w:eastAsia="楷体_GB2312"/>
          <w:szCs w:val="21"/>
          <w:highlight w:val="none"/>
        </w:rPr>
        <w:t>开放期业务时间内，本产品的产品份额净赎回申请超过</w:t>
      </w:r>
      <w:r>
        <w:rPr>
          <w:rFonts w:hint="eastAsia" w:eastAsia="楷体_GB2312"/>
          <w:b/>
          <w:szCs w:val="21"/>
          <w:highlight w:val="none"/>
        </w:rPr>
        <w:t>上一清算确认日或成立日日终</w:t>
      </w:r>
      <w:r>
        <w:rPr>
          <w:rFonts w:hint="eastAsia" w:eastAsia="楷体_GB2312"/>
          <w:szCs w:val="21"/>
          <w:highlight w:val="none"/>
        </w:rPr>
        <w:t>产品总份额的</w:t>
      </w:r>
      <w:r>
        <w:rPr>
          <w:rFonts w:hint="eastAsia" w:eastAsia="楷体_GB2312"/>
          <w:szCs w:val="21"/>
          <w:highlight w:val="none"/>
          <w:lang w:val="en-US" w:eastAsia="zh-CN"/>
        </w:rPr>
        <w:t>1</w:t>
      </w:r>
      <w:r>
        <w:rPr>
          <w:rFonts w:hint="eastAsia" w:eastAsia="楷体_GB2312"/>
          <w:szCs w:val="21"/>
          <w:highlight w:val="none"/>
        </w:rPr>
        <w:t>0%，为巨额赎回。当出现巨额赎回时，产品管理人可以根据资产组合状况决定全额赎回或部分顺延赎回。</w:t>
      </w:r>
    </w:p>
    <w:p>
      <w:pPr>
        <w:spacing w:line="360" w:lineRule="exact"/>
        <w:ind w:firstLine="359" w:firstLineChars="171"/>
        <w:rPr>
          <w:rFonts w:eastAsia="楷体_GB2312"/>
          <w:szCs w:val="21"/>
          <w:highlight w:val="none"/>
        </w:rPr>
      </w:pPr>
      <w:r>
        <w:rPr>
          <w:rFonts w:hint="eastAsia" w:eastAsia="楷体_GB2312"/>
          <w:szCs w:val="21"/>
          <w:highlight w:val="none"/>
        </w:rPr>
        <w:t>全额赎回：当产品管理人认为有能力兑付客户的赎回申请时，按正常赎回程序执行。</w:t>
      </w:r>
    </w:p>
    <w:p>
      <w:pPr>
        <w:spacing w:line="360" w:lineRule="exact"/>
        <w:ind w:firstLine="361" w:firstLineChars="171"/>
        <w:rPr>
          <w:rFonts w:eastAsia="楷体_GB2312"/>
          <w:szCs w:val="21"/>
          <w:highlight w:val="none"/>
        </w:rPr>
      </w:pPr>
      <w:r>
        <w:rPr>
          <w:rFonts w:hint="eastAsia" w:eastAsia="楷体_GB2312"/>
          <w:b/>
          <w:szCs w:val="21"/>
          <w:highlight w:val="none"/>
        </w:rPr>
        <w:t>部分顺延赎回：当产品管理人认为兑付投资</w:t>
      </w:r>
      <w:r>
        <w:rPr>
          <w:rFonts w:hint="eastAsia" w:eastAsia="楷体_GB2312"/>
          <w:b/>
          <w:szCs w:val="21"/>
          <w:highlight w:val="none"/>
          <w:lang w:eastAsia="zh-CN"/>
        </w:rPr>
        <w:t>者</w:t>
      </w:r>
      <w:r>
        <w:rPr>
          <w:rFonts w:hint="eastAsia" w:eastAsia="楷体_GB2312"/>
          <w:b/>
          <w:szCs w:val="21"/>
          <w:highlight w:val="none"/>
        </w:rPr>
        <w:t>的赎回申请有困难，或认为兑付投资</w:t>
      </w:r>
      <w:r>
        <w:rPr>
          <w:rFonts w:hint="eastAsia" w:eastAsia="楷体_GB2312"/>
          <w:b/>
          <w:szCs w:val="21"/>
          <w:highlight w:val="none"/>
          <w:lang w:eastAsia="zh-CN"/>
        </w:rPr>
        <w:t>者</w:t>
      </w:r>
      <w:r>
        <w:rPr>
          <w:rFonts w:hint="eastAsia" w:eastAsia="楷体_GB2312"/>
          <w:b/>
          <w:szCs w:val="21"/>
          <w:highlight w:val="none"/>
        </w:rPr>
        <w:t>的赎回申请进行的资产变现可能使产品资产净值发生较大波动时，产品管理人在清算确认日接受</w:t>
      </w:r>
      <w:r>
        <w:rPr>
          <w:rFonts w:hint="eastAsia" w:eastAsia="楷体_GB2312"/>
          <w:b/>
          <w:szCs w:val="21"/>
          <w:highlight w:val="none"/>
          <w:lang w:eastAsia="zh-CN"/>
        </w:rPr>
        <w:t>的产品份额净</w:t>
      </w:r>
      <w:r>
        <w:rPr>
          <w:rFonts w:hint="eastAsia" w:eastAsia="楷体_GB2312"/>
          <w:b/>
          <w:szCs w:val="21"/>
          <w:highlight w:val="none"/>
        </w:rPr>
        <w:t>赎回</w:t>
      </w:r>
      <w:r>
        <w:rPr>
          <w:rFonts w:hint="eastAsia" w:eastAsia="楷体_GB2312"/>
          <w:b/>
          <w:szCs w:val="21"/>
          <w:highlight w:val="none"/>
          <w:lang w:eastAsia="zh-CN"/>
        </w:rPr>
        <w:t>申请</w:t>
      </w:r>
      <w:r>
        <w:rPr>
          <w:rFonts w:hint="eastAsia" w:eastAsia="楷体_GB2312"/>
          <w:b/>
          <w:szCs w:val="21"/>
          <w:highlight w:val="none"/>
        </w:rPr>
        <w:t>比例不低于上一清算确认日或成立日日终产品总份额</w:t>
      </w:r>
      <w:r>
        <w:rPr>
          <w:rFonts w:hint="eastAsia" w:eastAsia="楷体_GB2312"/>
          <w:b/>
          <w:szCs w:val="21"/>
          <w:highlight w:val="none"/>
          <w:lang w:val="en-US" w:eastAsia="zh-CN"/>
        </w:rPr>
        <w:t>1</w:t>
      </w:r>
      <w:r>
        <w:rPr>
          <w:rFonts w:hint="eastAsia" w:eastAsia="楷体_GB2312"/>
          <w:b/>
          <w:szCs w:val="21"/>
          <w:highlight w:val="none"/>
        </w:rPr>
        <w:t>0％的前提下，有权自行决定对超过管理人接受赎回份额的赎回申请予以延期办理。</w:t>
      </w:r>
      <w:r>
        <w:rPr>
          <w:rFonts w:hint="eastAsia" w:eastAsia="楷体_GB2312"/>
          <w:szCs w:val="21"/>
          <w:highlight w:val="none"/>
        </w:rPr>
        <w:t>对于</w:t>
      </w:r>
      <w:r>
        <w:rPr>
          <w:rFonts w:hint="eastAsia" w:eastAsia="楷体_GB2312"/>
          <w:szCs w:val="21"/>
          <w:highlight w:val="none"/>
          <w:lang w:eastAsia="zh-CN"/>
        </w:rPr>
        <w:t>赎回</w:t>
      </w:r>
      <w:r>
        <w:rPr>
          <w:rFonts w:hint="eastAsia" w:eastAsia="楷体_GB2312"/>
          <w:szCs w:val="21"/>
          <w:highlight w:val="none"/>
        </w:rPr>
        <w:t>开放期内的赎回申请，应当按单个</w:t>
      </w:r>
      <w:r>
        <w:rPr>
          <w:rFonts w:hint="eastAsia" w:eastAsia="楷体_GB2312"/>
          <w:szCs w:val="21"/>
          <w:highlight w:val="none"/>
          <w:lang w:eastAsia="zh-CN"/>
        </w:rPr>
        <w:t>投资者</w:t>
      </w:r>
      <w:r>
        <w:rPr>
          <w:rFonts w:hint="eastAsia" w:eastAsia="楷体_GB2312"/>
          <w:szCs w:val="21"/>
          <w:highlight w:val="none"/>
        </w:rPr>
        <w:t>申请赎回份额占</w:t>
      </w:r>
      <w:r>
        <w:rPr>
          <w:rFonts w:hint="eastAsia" w:eastAsia="楷体_GB2312"/>
          <w:szCs w:val="21"/>
          <w:highlight w:val="none"/>
          <w:lang w:eastAsia="zh-CN"/>
        </w:rPr>
        <w:t>赎回</w:t>
      </w:r>
      <w:r>
        <w:rPr>
          <w:rFonts w:hint="eastAsia" w:eastAsia="楷体_GB2312"/>
          <w:szCs w:val="21"/>
          <w:highlight w:val="none"/>
        </w:rPr>
        <w:t>开放期内申请赎回总份额的比例，确定该单个</w:t>
      </w:r>
      <w:r>
        <w:rPr>
          <w:rFonts w:hint="eastAsia" w:eastAsia="楷体_GB2312"/>
          <w:szCs w:val="21"/>
          <w:highlight w:val="none"/>
          <w:lang w:eastAsia="zh-CN"/>
        </w:rPr>
        <w:t>投资者</w:t>
      </w:r>
      <w:r>
        <w:rPr>
          <w:rFonts w:hint="eastAsia" w:eastAsia="楷体_GB2312"/>
          <w:szCs w:val="21"/>
          <w:highlight w:val="none"/>
        </w:rPr>
        <w:t>清算确认日办理的赎回份额；未受理部分将顺延至下一</w:t>
      </w:r>
      <w:r>
        <w:rPr>
          <w:rFonts w:hint="eastAsia" w:eastAsia="楷体_GB2312"/>
          <w:szCs w:val="21"/>
          <w:highlight w:val="none"/>
          <w:lang w:eastAsia="zh-CN"/>
        </w:rPr>
        <w:t>赎回</w:t>
      </w:r>
      <w:r>
        <w:rPr>
          <w:rFonts w:hint="eastAsia" w:eastAsia="楷体_GB2312"/>
          <w:szCs w:val="21"/>
          <w:highlight w:val="none"/>
        </w:rPr>
        <w:t>开放期办理，转入下一</w:t>
      </w:r>
      <w:r>
        <w:rPr>
          <w:rFonts w:hint="eastAsia" w:eastAsia="楷体_GB2312"/>
          <w:szCs w:val="21"/>
          <w:highlight w:val="none"/>
          <w:lang w:eastAsia="zh-CN"/>
        </w:rPr>
        <w:t>赎回</w:t>
      </w:r>
      <w:r>
        <w:rPr>
          <w:rFonts w:hint="eastAsia" w:eastAsia="楷体_GB2312"/>
          <w:szCs w:val="21"/>
          <w:highlight w:val="none"/>
        </w:rPr>
        <w:t>开放期的赎回申请不享有赎回优先权，以此类推，直到投资者申请赎回份额全部赎回为止。投资</w:t>
      </w:r>
      <w:r>
        <w:rPr>
          <w:rFonts w:hint="eastAsia" w:eastAsia="楷体_GB2312"/>
          <w:szCs w:val="21"/>
          <w:highlight w:val="none"/>
          <w:lang w:eastAsia="zh-CN"/>
        </w:rPr>
        <w:t>者</w:t>
      </w:r>
      <w:r>
        <w:rPr>
          <w:rFonts w:hint="eastAsia" w:eastAsia="楷体_GB2312"/>
          <w:szCs w:val="21"/>
          <w:highlight w:val="none"/>
        </w:rPr>
        <w:t>在提出赎回申请时也可选择在清算确认日后5个工作日内将未获受理部分予以取消。</w:t>
      </w:r>
    </w:p>
    <w:p>
      <w:pPr>
        <w:spacing w:line="360" w:lineRule="exact"/>
        <w:ind w:firstLine="359" w:firstLineChars="171"/>
        <w:rPr>
          <w:rFonts w:eastAsia="楷体_GB2312"/>
          <w:szCs w:val="21"/>
          <w:highlight w:val="none"/>
        </w:rPr>
      </w:pPr>
      <w:r>
        <w:rPr>
          <w:rFonts w:hint="eastAsia" w:eastAsia="楷体_GB2312"/>
          <w:szCs w:val="21"/>
          <w:highlight w:val="none"/>
        </w:rPr>
        <w:t>当发生巨额赎回并延期办理时，产品管理人应在3 个工作日内通过指定途径刊登公告，并说明有关处理方法。</w:t>
      </w:r>
    </w:p>
    <w:p>
      <w:pPr>
        <w:spacing w:line="360" w:lineRule="exact"/>
        <w:ind w:firstLine="359" w:firstLineChars="171"/>
        <w:rPr>
          <w:rFonts w:eastAsia="楷体_GB2312"/>
          <w:szCs w:val="21"/>
          <w:highlight w:val="none"/>
        </w:rPr>
      </w:pPr>
    </w:p>
    <w:p>
      <w:pPr>
        <w:spacing w:line="360" w:lineRule="exact"/>
        <w:ind w:firstLine="361" w:firstLineChars="171"/>
        <w:rPr>
          <w:rFonts w:eastAsia="楷体_GB2312"/>
          <w:b/>
          <w:szCs w:val="21"/>
          <w:highlight w:val="none"/>
        </w:rPr>
      </w:pPr>
      <w:r>
        <w:rPr>
          <w:rFonts w:hint="eastAsia" w:eastAsia="楷体_GB2312"/>
          <w:b/>
          <w:szCs w:val="21"/>
          <w:highlight w:val="none"/>
        </w:rPr>
        <w:t>暂停接受和延缓支付</w:t>
      </w:r>
    </w:p>
    <w:p>
      <w:pPr>
        <w:spacing w:line="360" w:lineRule="exact"/>
        <w:ind w:firstLine="359" w:firstLineChars="171"/>
        <w:rPr>
          <w:rFonts w:eastAsia="楷体_GB2312"/>
          <w:szCs w:val="21"/>
          <w:highlight w:val="none"/>
        </w:rPr>
      </w:pPr>
      <w:r>
        <w:rPr>
          <w:rFonts w:hint="eastAsia" w:eastAsia="楷体_GB2312"/>
          <w:szCs w:val="21"/>
          <w:highlight w:val="none"/>
        </w:rPr>
        <w:t>本产品连续两个清算确认日或以上发生巨额赎回，如管理人认为有必要，可暂停接受赎回申请；已经确认的赎回申请可以延缓支付赎回款项，但不得超过正常支付时间五个工作日，并应当通过指定途径上进行公告。</w:t>
      </w:r>
    </w:p>
    <w:p>
      <w:pPr>
        <w:spacing w:line="360" w:lineRule="exact"/>
        <w:ind w:firstLine="359" w:firstLineChars="171"/>
        <w:rPr>
          <w:rFonts w:eastAsia="楷体_GB2312"/>
          <w:szCs w:val="21"/>
          <w:highlight w:val="none"/>
        </w:rPr>
      </w:pPr>
      <w:r>
        <w:rPr>
          <w:rFonts w:hint="eastAsia" w:eastAsia="楷体_GB2312"/>
          <w:szCs w:val="21"/>
          <w:highlight w:val="none"/>
        </w:rPr>
        <w:t>在如下情况下，管理人可以暂停接受投资</w:t>
      </w:r>
      <w:r>
        <w:rPr>
          <w:rFonts w:hint="eastAsia" w:eastAsia="楷体_GB2312"/>
          <w:szCs w:val="21"/>
          <w:highlight w:val="none"/>
          <w:lang w:eastAsia="zh-CN"/>
        </w:rPr>
        <w:t>者</w:t>
      </w:r>
      <w:r>
        <w:rPr>
          <w:rFonts w:hint="eastAsia" w:eastAsia="楷体_GB2312"/>
          <w:szCs w:val="21"/>
          <w:highlight w:val="none"/>
        </w:rPr>
        <w:t>的赎回申请：</w:t>
      </w:r>
    </w:p>
    <w:p>
      <w:pPr>
        <w:spacing w:line="360" w:lineRule="exact"/>
        <w:ind w:firstLine="359" w:firstLineChars="171"/>
        <w:rPr>
          <w:rFonts w:eastAsia="楷体_GB2312"/>
          <w:szCs w:val="21"/>
          <w:highlight w:val="none"/>
        </w:rPr>
      </w:pPr>
      <w:r>
        <w:rPr>
          <w:rFonts w:hint="eastAsia" w:eastAsia="楷体_GB2312"/>
          <w:szCs w:val="21"/>
          <w:highlight w:val="none"/>
        </w:rPr>
        <w:t>1、因不可抗力导致产品管理人不能支付赎回款项；</w:t>
      </w:r>
    </w:p>
    <w:p>
      <w:pPr>
        <w:spacing w:line="360" w:lineRule="exact"/>
        <w:ind w:firstLine="359" w:firstLineChars="171"/>
        <w:rPr>
          <w:rFonts w:eastAsia="楷体_GB2312"/>
          <w:szCs w:val="21"/>
          <w:highlight w:val="none"/>
        </w:rPr>
      </w:pPr>
      <w:r>
        <w:rPr>
          <w:rFonts w:hint="eastAsia" w:eastAsia="楷体_GB2312"/>
          <w:szCs w:val="21"/>
          <w:highlight w:val="none"/>
        </w:rPr>
        <w:t>2、发生巨额赎回，根据本产品说明书规定，可以暂停接受赎回申请的情况；</w:t>
      </w:r>
    </w:p>
    <w:p>
      <w:pPr>
        <w:spacing w:line="360" w:lineRule="exact"/>
        <w:ind w:firstLine="359" w:firstLineChars="171"/>
        <w:rPr>
          <w:rFonts w:eastAsia="楷体_GB2312"/>
          <w:szCs w:val="21"/>
          <w:highlight w:val="none"/>
        </w:rPr>
      </w:pPr>
      <w:r>
        <w:rPr>
          <w:rFonts w:hint="eastAsia" w:eastAsia="楷体_GB2312"/>
          <w:szCs w:val="21"/>
          <w:highlight w:val="none"/>
        </w:rPr>
        <w:t>3、发生本产品说明书规定的暂停产品资产估值情况；</w:t>
      </w:r>
    </w:p>
    <w:p>
      <w:pPr>
        <w:spacing w:line="360" w:lineRule="exact"/>
        <w:ind w:firstLine="359" w:firstLineChars="171"/>
        <w:rPr>
          <w:rFonts w:eastAsia="楷体_GB2312"/>
          <w:szCs w:val="21"/>
          <w:highlight w:val="none"/>
        </w:rPr>
      </w:pPr>
      <w:r>
        <w:rPr>
          <w:rFonts w:hint="eastAsia" w:eastAsia="楷体_GB2312"/>
          <w:szCs w:val="21"/>
          <w:highlight w:val="none"/>
        </w:rPr>
        <w:t>4、法律、法规规定或</w:t>
      </w:r>
      <w:r>
        <w:rPr>
          <w:rFonts w:hint="eastAsia" w:eastAsia="楷体_GB2312"/>
          <w:szCs w:val="21"/>
          <w:highlight w:val="none"/>
          <w:lang w:eastAsia="zh-CN"/>
        </w:rPr>
        <w:t>中国银保监会</w:t>
      </w:r>
      <w:r>
        <w:rPr>
          <w:rFonts w:hint="eastAsia" w:eastAsia="楷体_GB2312"/>
          <w:szCs w:val="21"/>
          <w:highlight w:val="none"/>
        </w:rPr>
        <w:t>认定的其它情形。</w:t>
      </w:r>
    </w:p>
    <w:p>
      <w:pPr>
        <w:spacing w:line="360" w:lineRule="exact"/>
        <w:ind w:firstLine="359" w:firstLineChars="171"/>
        <w:rPr>
          <w:rFonts w:eastAsia="楷体_GB2312"/>
          <w:szCs w:val="21"/>
          <w:highlight w:val="none"/>
        </w:rPr>
      </w:pPr>
      <w:r>
        <w:rPr>
          <w:rFonts w:hint="eastAsia" w:eastAsia="楷体_GB2312"/>
          <w:szCs w:val="21"/>
          <w:highlight w:val="none"/>
        </w:rPr>
        <w:t>发生上述情形之一的，已经确认的赎回申请，管理人应当足额支付；如发生巨额赎回，则按单个</w:t>
      </w:r>
      <w:r>
        <w:rPr>
          <w:rFonts w:hint="eastAsia" w:eastAsia="楷体_GB2312"/>
          <w:szCs w:val="21"/>
          <w:highlight w:val="none"/>
          <w:lang w:eastAsia="zh-CN"/>
        </w:rPr>
        <w:t>投资者</w:t>
      </w:r>
      <w:r>
        <w:rPr>
          <w:rFonts w:hint="eastAsia" w:eastAsia="楷体_GB2312"/>
          <w:szCs w:val="21"/>
          <w:highlight w:val="none"/>
        </w:rPr>
        <w:t>已被接受的赎回申请量占已接受的赎回申请总量的比例分配给</w:t>
      </w:r>
      <w:r>
        <w:rPr>
          <w:rFonts w:hint="eastAsia" w:eastAsia="楷体_GB2312"/>
          <w:szCs w:val="21"/>
          <w:highlight w:val="none"/>
          <w:lang w:eastAsia="zh-CN"/>
        </w:rPr>
        <w:t>投资者</w:t>
      </w:r>
      <w:r>
        <w:rPr>
          <w:rFonts w:hint="eastAsia" w:eastAsia="楷体_GB2312"/>
          <w:szCs w:val="21"/>
          <w:highlight w:val="none"/>
        </w:rPr>
        <w:t>，其余部分在后续清算确认日确认后再予以支付。</w:t>
      </w:r>
    </w:p>
    <w:p>
      <w:pPr>
        <w:spacing w:line="360" w:lineRule="exact"/>
        <w:ind w:firstLine="359" w:firstLineChars="171"/>
        <w:rPr>
          <w:rFonts w:eastAsia="楷体_GB2312"/>
          <w:szCs w:val="21"/>
          <w:highlight w:val="none"/>
        </w:rPr>
      </w:pPr>
      <w:r>
        <w:rPr>
          <w:rFonts w:hint="eastAsia" w:eastAsia="楷体_GB2312"/>
          <w:szCs w:val="21"/>
          <w:highlight w:val="none"/>
        </w:rPr>
        <w:t>在暂停赎回的情况消除时，产品管理人应及时恢复赎回业务的办理。暂停期间结束，产品重新开放时，管理人应当公告最新的产品单位净值。</w:t>
      </w:r>
    </w:p>
    <w:p>
      <w:pPr>
        <w:snapToGrid w:val="0"/>
        <w:spacing w:line="360" w:lineRule="exact"/>
        <w:ind w:firstLine="420" w:firstLineChars="200"/>
        <w:rPr>
          <w:rFonts w:hint="eastAsia" w:ascii="楷体_GB2312" w:eastAsia="楷体_GB2312"/>
          <w:szCs w:val="21"/>
          <w:highlight w:val="none"/>
        </w:rPr>
      </w:pPr>
    </w:p>
    <w:p>
      <w:pPr>
        <w:spacing w:line="360" w:lineRule="exact"/>
        <w:ind w:firstLine="359" w:firstLineChars="171"/>
        <w:rPr>
          <w:rFonts w:hint="eastAsia" w:eastAsia="楷体_GB2312"/>
          <w:szCs w:val="21"/>
          <w:highlight w:val="none"/>
        </w:rPr>
      </w:pPr>
    </w:p>
    <w:p>
      <w:pPr>
        <w:pStyle w:val="2"/>
        <w:snapToGrid w:val="0"/>
        <w:spacing w:before="0" w:after="0" w:line="360" w:lineRule="atLeast"/>
        <w:jc w:val="center"/>
        <w:rPr>
          <w:rFonts w:eastAsia="楷体_GB2312"/>
          <w:sz w:val="28"/>
          <w:highlight w:val="none"/>
        </w:rPr>
      </w:pPr>
      <w:r>
        <w:rPr>
          <w:rFonts w:hint="eastAsia" w:eastAsia="楷体_GB2312"/>
          <w:sz w:val="28"/>
          <w:highlight w:val="none"/>
          <w:lang w:eastAsia="zh-CN"/>
        </w:rPr>
        <w:t>四</w:t>
      </w:r>
      <w:r>
        <w:rPr>
          <w:rFonts w:hint="eastAsia" w:eastAsia="楷体_GB2312"/>
          <w:sz w:val="28"/>
          <w:highlight w:val="none"/>
        </w:rPr>
        <w:t>、产品的收益及其分配</w:t>
      </w:r>
    </w:p>
    <w:p>
      <w:pPr>
        <w:snapToGrid w:val="0"/>
        <w:spacing w:line="360" w:lineRule="atLeast"/>
        <w:ind w:firstLine="359" w:firstLineChars="171"/>
        <w:rPr>
          <w:rFonts w:ascii="Times New Roman" w:hAnsi="Times New Roman" w:eastAsia="楷体_GB2312"/>
          <w:highlight w:val="none"/>
        </w:rPr>
      </w:pPr>
      <w:r>
        <w:rPr>
          <w:rFonts w:hint="eastAsia" w:ascii="Times New Roman" w:hAnsi="Times New Roman" w:eastAsia="楷体_GB2312"/>
          <w:highlight w:val="none"/>
        </w:rPr>
        <w:t>产品收益包括</w:t>
      </w:r>
      <w:r>
        <w:rPr>
          <w:rFonts w:ascii="Times New Roman" w:hAnsi="Times New Roman" w:eastAsia="楷体_GB2312"/>
          <w:highlight w:val="none"/>
        </w:rPr>
        <w:t>:</w:t>
      </w:r>
    </w:p>
    <w:p>
      <w:pPr>
        <w:snapToGrid w:val="0"/>
        <w:spacing w:line="360" w:lineRule="atLeast"/>
        <w:ind w:firstLine="359" w:firstLineChars="171"/>
        <w:rPr>
          <w:rFonts w:ascii="Times New Roman" w:hAnsi="Times New Roman" w:eastAsia="楷体_GB2312"/>
          <w:highlight w:val="none"/>
        </w:rPr>
      </w:pPr>
      <w:r>
        <w:rPr>
          <w:rFonts w:hint="eastAsia" w:ascii="Times New Roman" w:hAnsi="Times New Roman" w:eastAsia="楷体_GB2312"/>
          <w:highlight w:val="none"/>
        </w:rPr>
        <w:t>1、本产品投资的债券收益、质押式及买断式回购收益、其他金融工具投资收益及银行存款利息收益。</w:t>
      </w:r>
    </w:p>
    <w:p>
      <w:pPr>
        <w:tabs>
          <w:tab w:val="left" w:pos="0"/>
        </w:tabs>
        <w:snapToGrid w:val="0"/>
        <w:spacing w:line="360" w:lineRule="atLeast"/>
        <w:ind w:firstLine="420" w:firstLineChars="200"/>
        <w:jc w:val="left"/>
        <w:rPr>
          <w:rFonts w:ascii="Times New Roman" w:hAnsi="Times New Roman" w:eastAsia="楷体_GB2312"/>
          <w:highlight w:val="none"/>
        </w:rPr>
      </w:pPr>
      <w:r>
        <w:rPr>
          <w:rFonts w:hint="eastAsia" w:ascii="Times New Roman" w:hAnsi="Times New Roman" w:eastAsia="楷体_GB2312"/>
          <w:highlight w:val="none"/>
          <w:lang w:val="en-US" w:eastAsia="zh-CN"/>
        </w:rPr>
        <w:t>2</w:t>
      </w:r>
      <w:r>
        <w:rPr>
          <w:rFonts w:hint="eastAsia" w:ascii="Times New Roman" w:hAnsi="Times New Roman" w:eastAsia="楷体_GB2312"/>
          <w:highlight w:val="none"/>
        </w:rPr>
        <w:t>、固定管理费回拨：若本产品最终收益（扣除相关税费、托管费、固定管理费等相关费用）达不到业绩比较基准</w:t>
      </w:r>
      <w:r>
        <w:rPr>
          <w:rFonts w:hint="eastAsia" w:ascii="Times New Roman" w:hAnsi="Times New Roman" w:eastAsia="楷体_GB2312"/>
          <w:highlight w:val="none"/>
          <w:lang w:eastAsia="zh-CN"/>
        </w:rPr>
        <w:t>下限</w:t>
      </w:r>
      <w:r>
        <w:rPr>
          <w:rFonts w:hint="eastAsia" w:ascii="Times New Roman" w:hAnsi="Times New Roman" w:eastAsia="楷体_GB2312"/>
          <w:highlight w:val="none"/>
        </w:rPr>
        <w:t>，则常熟农商银行将以固定管理费为限向客户进行回拨，直至客户收益达到业绩比较基准</w:t>
      </w:r>
      <w:r>
        <w:rPr>
          <w:rFonts w:hint="eastAsia" w:ascii="Times New Roman" w:hAnsi="Times New Roman" w:eastAsia="楷体_GB2312"/>
          <w:highlight w:val="none"/>
          <w:lang w:eastAsia="zh-CN"/>
        </w:rPr>
        <w:t>下限</w:t>
      </w:r>
      <w:r>
        <w:rPr>
          <w:rFonts w:hint="eastAsia" w:ascii="Times New Roman" w:hAnsi="Times New Roman" w:eastAsia="楷体_GB2312"/>
          <w:highlight w:val="none"/>
        </w:rPr>
        <w:t>。若固定管理费全额回拨后，客户收益未达到业绩比较基准</w:t>
      </w:r>
      <w:r>
        <w:rPr>
          <w:rFonts w:hint="eastAsia" w:ascii="Times New Roman" w:hAnsi="Times New Roman" w:eastAsia="楷体_GB2312"/>
          <w:highlight w:val="none"/>
          <w:lang w:eastAsia="zh-CN"/>
        </w:rPr>
        <w:t>下限</w:t>
      </w:r>
      <w:r>
        <w:rPr>
          <w:rFonts w:hint="eastAsia" w:ascii="Times New Roman" w:hAnsi="Times New Roman" w:eastAsia="楷体_GB2312"/>
          <w:highlight w:val="none"/>
        </w:rPr>
        <w:t>，则客户收益以此为限。</w:t>
      </w:r>
    </w:p>
    <w:p>
      <w:pPr>
        <w:snapToGrid w:val="0"/>
        <w:spacing w:line="360" w:lineRule="atLeast"/>
        <w:ind w:firstLine="359" w:firstLineChars="171"/>
        <w:rPr>
          <w:rFonts w:ascii="Times New Roman" w:hAnsi="Times New Roman" w:eastAsia="楷体_GB2312"/>
          <w:highlight w:val="none"/>
        </w:rPr>
      </w:pPr>
      <w:r>
        <w:rPr>
          <w:rFonts w:hint="eastAsia" w:ascii="Times New Roman" w:hAnsi="Times New Roman" w:eastAsia="楷体_GB2312"/>
          <w:highlight w:val="none"/>
          <w:lang w:val="en-US" w:eastAsia="zh-CN"/>
        </w:rPr>
        <w:t>3</w:t>
      </w:r>
      <w:r>
        <w:rPr>
          <w:rFonts w:hint="eastAsia" w:ascii="Times New Roman" w:hAnsi="Times New Roman" w:eastAsia="楷体_GB2312"/>
          <w:highlight w:val="none"/>
        </w:rPr>
        <w:t>、产品净收益为产品收益扣除按照有关规定可以在产品收益中扣除的费用后的余额。</w:t>
      </w:r>
    </w:p>
    <w:p>
      <w:pPr>
        <w:snapToGrid w:val="0"/>
        <w:spacing w:line="360" w:lineRule="atLeast"/>
        <w:ind w:firstLine="359" w:firstLineChars="171"/>
        <w:rPr>
          <w:rFonts w:hint="eastAsia" w:ascii="Times New Roman" w:hAnsi="Times New Roman" w:eastAsia="楷体_GB2312"/>
          <w:highlight w:val="none"/>
        </w:rPr>
      </w:pPr>
      <w:r>
        <w:rPr>
          <w:rFonts w:hint="eastAsia" w:eastAsia="楷体_GB2312"/>
          <w:highlight w:val="none"/>
        </w:rPr>
        <w:t>产品收益于产品份额赎回或产品终止时一次性分配。收益分配时发生的银行转账等手续费用由产品投资者自行承担。</w:t>
      </w:r>
    </w:p>
    <w:p>
      <w:pPr>
        <w:snapToGrid w:val="0"/>
        <w:spacing w:line="360" w:lineRule="atLeast"/>
        <w:ind w:firstLine="359" w:firstLineChars="171"/>
        <w:rPr>
          <w:rFonts w:ascii="Times New Roman" w:hAnsi="Times New Roman" w:eastAsia="楷体_GB2312"/>
          <w:highlight w:val="none"/>
        </w:rPr>
      </w:pPr>
    </w:p>
    <w:p>
      <w:pPr>
        <w:pStyle w:val="2"/>
        <w:snapToGrid w:val="0"/>
        <w:spacing w:before="0" w:after="0" w:line="360" w:lineRule="atLeast"/>
        <w:jc w:val="center"/>
        <w:rPr>
          <w:rFonts w:eastAsia="楷体_GB2312"/>
          <w:sz w:val="28"/>
          <w:highlight w:val="none"/>
        </w:rPr>
      </w:pPr>
      <w:r>
        <w:rPr>
          <w:rFonts w:hint="eastAsia" w:eastAsia="楷体_GB2312"/>
          <w:sz w:val="28"/>
          <w:highlight w:val="none"/>
          <w:lang w:eastAsia="zh-CN"/>
        </w:rPr>
        <w:t>五</w:t>
      </w:r>
      <w:r>
        <w:rPr>
          <w:rFonts w:hint="eastAsia" w:eastAsia="楷体_GB2312"/>
          <w:sz w:val="28"/>
          <w:highlight w:val="none"/>
        </w:rPr>
        <w:t>、产品的相关费用</w:t>
      </w:r>
    </w:p>
    <w:p>
      <w:pPr>
        <w:snapToGrid w:val="0"/>
        <w:spacing w:line="360" w:lineRule="exact"/>
        <w:ind w:firstLine="422" w:firstLineChars="200"/>
        <w:rPr>
          <w:rFonts w:ascii="楷体_GB2312" w:hAnsi="Times New Roman" w:eastAsia="楷体_GB2312"/>
          <w:b/>
          <w:bCs/>
          <w:highlight w:val="none"/>
        </w:rPr>
      </w:pPr>
      <w:bookmarkStart w:id="0" w:name="_Toc24442816"/>
      <w:bookmarkStart w:id="1" w:name="_Toc24442931"/>
      <w:bookmarkStart w:id="2" w:name="_Toc37147666"/>
      <w:bookmarkStart w:id="3" w:name="_Toc24442988"/>
      <w:r>
        <w:rPr>
          <w:rFonts w:hint="eastAsia" w:ascii="楷体_GB2312" w:hAnsi="Times New Roman" w:eastAsia="楷体_GB2312"/>
          <w:b/>
          <w:bCs/>
          <w:highlight w:val="none"/>
        </w:rPr>
        <w:t>（一）与产品运作有关的费用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1、产品费用的种类</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（1）产品管理费；</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（2）产品托管费；</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（3）其他相关服务机构费用：包括中央国债登记结算有限公司等其他相关服务机构的费用；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（4）按照国家有关规定可以列入的其它费用。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法律法规另有规定时从其规定。</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2、产品费用支付方式</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（1）产品固定管理费和产品托管费支付方式</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管理人于产品</w:t>
      </w:r>
      <w:r>
        <w:rPr>
          <w:rFonts w:hint="eastAsia" w:ascii="楷体_GB2312" w:hAnsi="Times New Roman" w:eastAsia="楷体_GB2312"/>
          <w:highlight w:val="none"/>
          <w:lang w:eastAsia="zh-CN"/>
        </w:rPr>
        <w:t>赎回开放期的清算确认日</w:t>
      </w:r>
      <w:r>
        <w:rPr>
          <w:rFonts w:hint="eastAsia" w:ascii="楷体_GB2312" w:hAnsi="Times New Roman" w:eastAsia="楷体_GB2312"/>
          <w:highlight w:val="none"/>
        </w:rPr>
        <w:t>向产品托管人发送</w:t>
      </w:r>
      <w:r>
        <w:rPr>
          <w:rFonts w:hint="eastAsia" w:ascii="楷体_GB2312" w:hAnsi="Times New Roman" w:eastAsia="楷体_GB2312"/>
          <w:highlight w:val="none"/>
          <w:lang w:eastAsia="zh-CN"/>
        </w:rPr>
        <w:t>上一投资周期的</w:t>
      </w:r>
      <w:r>
        <w:rPr>
          <w:rFonts w:hint="eastAsia" w:ascii="楷体_GB2312" w:hAnsi="Times New Roman" w:eastAsia="楷体_GB2312"/>
          <w:highlight w:val="none"/>
        </w:rPr>
        <w:t>产品固定管理费、托管费划付指令，产品托管人复核后十个工作日内从产品资产中分别一次性支付给管理人、产品托管人。</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产品管理人和产品托管人可磋商酌情调整产品固定管理费和产品托管费，但需最晚在变更前三个工作日进行信息披露。投资者不接受的，可按照公告说明赎回理财产品。</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（2）除固定管理费、托管费外，如存在其它按国家相关法律法规规定应由投资者支付的费用，产品管理人和产品托管人可以对收费标准进行调整，但需最晚在变更前三个工作日进行信息披露。</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（3）其他相关服务机构费用：根据相关服务机构的收费标准进行收取，费用由理财产品承担。</w:t>
      </w:r>
    </w:p>
    <w:p>
      <w:pPr>
        <w:snapToGrid w:val="0"/>
        <w:spacing w:line="360" w:lineRule="exact"/>
        <w:ind w:firstLine="420" w:firstLineChars="200"/>
        <w:rPr>
          <w:rFonts w:ascii="Times New Roman" w:hAnsi="Times New Roman" w:eastAsia="楷体_GB2312"/>
          <w:highlight w:val="none"/>
        </w:rPr>
      </w:pPr>
    </w:p>
    <w:p>
      <w:pPr>
        <w:pStyle w:val="2"/>
        <w:snapToGrid w:val="0"/>
        <w:spacing w:before="0" w:after="0" w:line="360" w:lineRule="atLeast"/>
        <w:jc w:val="center"/>
        <w:rPr>
          <w:rFonts w:eastAsia="楷体_GB2312"/>
          <w:sz w:val="28"/>
          <w:highlight w:val="none"/>
        </w:rPr>
      </w:pPr>
      <w:r>
        <w:rPr>
          <w:rFonts w:hint="eastAsia" w:eastAsia="楷体_GB2312"/>
          <w:sz w:val="28"/>
          <w:highlight w:val="none"/>
          <w:lang w:eastAsia="zh-CN"/>
        </w:rPr>
        <w:t>六</w:t>
      </w:r>
      <w:r>
        <w:rPr>
          <w:rFonts w:hint="eastAsia" w:eastAsia="楷体_GB2312"/>
          <w:sz w:val="28"/>
          <w:highlight w:val="none"/>
        </w:rPr>
        <w:t>、产品的资产配置、投资策略和投资目标</w:t>
      </w:r>
    </w:p>
    <w:p>
      <w:pPr>
        <w:snapToGrid w:val="0"/>
        <w:spacing w:line="360" w:lineRule="exact"/>
        <w:ind w:firstLine="422" w:firstLineChars="200"/>
        <w:rPr>
          <w:rFonts w:ascii="楷体_GB2312" w:hAnsi="Times New Roman" w:eastAsia="楷体_GB2312"/>
          <w:highlight w:val="none"/>
        </w:rPr>
      </w:pPr>
      <w:r>
        <w:rPr>
          <w:rFonts w:hint="eastAsia" w:ascii="楷体_GB2312" w:hAnsi="Times New Roman" w:eastAsia="楷体_GB2312"/>
          <w:b/>
          <w:highlight w:val="none"/>
        </w:rPr>
        <w:t>（一）资产配置</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本理财产品投资于符合监管要求的固定收益类资产，包括但不限于国债、央行票据、金融债、信用等级在 AA（含）以上的债券、可转债</w:t>
      </w:r>
      <w:r>
        <w:rPr>
          <w:rFonts w:ascii="楷体_GB2312" w:hAnsi="Times New Roman" w:eastAsia="楷体_GB2312"/>
          <w:highlight w:val="none"/>
        </w:rPr>
        <w:t>、可交换债</w:t>
      </w:r>
      <w:r>
        <w:rPr>
          <w:rFonts w:hint="eastAsia" w:ascii="楷体_GB2312" w:hAnsi="Times New Roman" w:eastAsia="楷体_GB2312"/>
          <w:highlight w:val="none"/>
          <w:lang w:eastAsia="zh-CN"/>
        </w:rPr>
        <w:t>等债券资产</w:t>
      </w:r>
      <w:r>
        <w:rPr>
          <w:rFonts w:hint="eastAsia" w:ascii="楷体_GB2312" w:hAnsi="Times New Roman" w:eastAsia="楷体_GB2312"/>
          <w:highlight w:val="none"/>
        </w:rPr>
        <w:t>以及同业存款、同业存单、同业拆借、回购、债券基金、货币基金等；</w:t>
      </w:r>
      <w:r>
        <w:rPr>
          <w:rFonts w:ascii="楷体_GB2312" w:hAnsi="Times New Roman" w:eastAsia="楷体_GB2312"/>
          <w:highlight w:val="none"/>
        </w:rPr>
        <w:t>直接</w:t>
      </w:r>
      <w:r>
        <w:rPr>
          <w:rFonts w:hint="eastAsia" w:ascii="楷体_GB2312" w:hAnsi="Times New Roman" w:eastAsia="楷体_GB2312"/>
          <w:highlight w:val="none"/>
        </w:rPr>
        <w:t>或间接</w:t>
      </w:r>
      <w:r>
        <w:rPr>
          <w:rFonts w:ascii="楷体_GB2312" w:hAnsi="Times New Roman" w:eastAsia="楷体_GB2312"/>
          <w:highlight w:val="none"/>
        </w:rPr>
        <w:t>投资于权益类投资品种，包括但不限于股票、股票型证券投资基金或</w:t>
      </w:r>
      <w:r>
        <w:rPr>
          <w:rFonts w:hint="eastAsia" w:ascii="楷体_GB2312" w:hAnsi="Times New Roman" w:eastAsia="楷体_GB2312"/>
          <w:highlight w:val="none"/>
        </w:rPr>
        <w:t>第三方管理人</w:t>
      </w:r>
      <w:r>
        <w:rPr>
          <w:rFonts w:ascii="楷体_GB2312" w:hAnsi="Times New Roman" w:eastAsia="楷体_GB2312"/>
          <w:highlight w:val="none"/>
        </w:rPr>
        <w:t>主动管理的权益产品等权益类资产。</w:t>
      </w:r>
      <w:r>
        <w:rPr>
          <w:rFonts w:hint="eastAsia" w:ascii="楷体_GB2312" w:hAnsi="Times New Roman" w:eastAsia="楷体_GB2312"/>
          <w:highlight w:val="none"/>
        </w:rPr>
        <w:t>本产品拟配置资产的比例为存款、货币基金等现金类资产 0-30%，债券资产、同业存单、同业拆借、回购、债券基金</w:t>
      </w:r>
      <w:r>
        <w:rPr>
          <w:rFonts w:hint="eastAsia" w:ascii="楷体_GB2312" w:hAnsi="Times New Roman" w:eastAsia="楷体_GB2312"/>
          <w:highlight w:val="none"/>
          <w:lang w:val="en-US" w:eastAsia="zh-CN"/>
        </w:rPr>
        <w:t>50</w:t>
      </w:r>
      <w:r>
        <w:rPr>
          <w:rFonts w:hint="eastAsia" w:ascii="楷体_GB2312" w:hAnsi="Times New Roman" w:eastAsia="楷体_GB2312"/>
          <w:highlight w:val="none"/>
        </w:rPr>
        <w:t>-100%，权益类资产0-20%。</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在本产品存续期内，如因市场发生重大变化导致前述投资比例暂时超出浮动区间的，管理人应及时予以调整。</w:t>
      </w:r>
    </w:p>
    <w:p>
      <w:pPr>
        <w:numPr>
          <w:ilvl w:val="0"/>
          <w:numId w:val="0"/>
        </w:numPr>
        <w:snapToGrid w:val="0"/>
        <w:spacing w:line="360" w:lineRule="exact"/>
        <w:ind w:firstLine="420" w:firstLineChars="200"/>
        <w:rPr>
          <w:rFonts w:hint="eastAsia" w:ascii="Times New Roman" w:hAnsi="Times New Roman" w:eastAsia="楷体_GB2312"/>
          <w:highlight w:val="none"/>
        </w:rPr>
      </w:pPr>
      <w:r>
        <w:rPr>
          <w:rFonts w:hint="eastAsia" w:ascii="Times New Roman" w:hAnsi="Times New Roman" w:eastAsia="楷体_GB2312"/>
          <w:highlight w:val="none"/>
          <w:lang w:val="en-US" w:eastAsia="zh-CN"/>
        </w:rPr>
        <w:t>本产品配置资产包含股票型基金。股票市场价格因</w:t>
      </w:r>
      <w:r>
        <w:rPr>
          <w:rFonts w:hint="eastAsia" w:ascii="Times New Roman" w:hAnsi="Times New Roman" w:eastAsia="楷体_GB2312"/>
          <w:highlight w:val="none"/>
        </w:rPr>
        <w:t>受各种因素影响而引起波动，</w:t>
      </w:r>
      <w:r>
        <w:rPr>
          <w:rFonts w:hint="eastAsia" w:ascii="Times New Roman" w:hAnsi="Times New Roman" w:eastAsia="楷体_GB2312"/>
          <w:highlight w:val="none"/>
          <w:lang w:eastAsia="zh-CN"/>
        </w:rPr>
        <w:t>将影响股票型基金的净值，进而使本产品资产</w:t>
      </w:r>
      <w:r>
        <w:rPr>
          <w:rFonts w:hint="eastAsia" w:ascii="Times New Roman" w:hAnsi="Times New Roman" w:eastAsia="楷体_GB2312"/>
          <w:highlight w:val="none"/>
        </w:rPr>
        <w:t>面临潜在的风险。股票</w:t>
      </w:r>
      <w:r>
        <w:rPr>
          <w:rFonts w:hint="eastAsia" w:ascii="Times New Roman" w:hAnsi="Times New Roman" w:eastAsia="楷体_GB2312"/>
          <w:highlight w:val="none"/>
          <w:lang w:eastAsia="zh-CN"/>
        </w:rPr>
        <w:t>市场</w:t>
      </w:r>
      <w:r>
        <w:rPr>
          <w:rFonts w:hint="eastAsia" w:ascii="Times New Roman" w:hAnsi="Times New Roman" w:eastAsia="楷体_GB2312"/>
          <w:highlight w:val="none"/>
        </w:rPr>
        <w:t xml:space="preserve">投资风险主要包括： </w:t>
      </w:r>
    </w:p>
    <w:p>
      <w:pPr>
        <w:snapToGrid w:val="0"/>
        <w:spacing w:line="360" w:lineRule="atLeast"/>
        <w:ind w:firstLine="0" w:firstLineChars="0"/>
        <w:rPr>
          <w:rFonts w:hint="eastAsia" w:ascii="Times New Roman" w:hAnsi="Times New Roman" w:eastAsia="楷体_GB2312"/>
          <w:highlight w:val="none"/>
          <w:lang w:val="en-US" w:eastAsia="zh-CN"/>
        </w:rPr>
      </w:pPr>
      <w:r>
        <w:rPr>
          <w:rFonts w:hint="eastAsia" w:ascii="Times New Roman" w:hAnsi="Times New Roman" w:eastAsia="楷体_GB2312"/>
          <w:highlight w:val="none"/>
        </w:rPr>
        <w:t>(1)国家/地区货币政策、财政政策、产业政策等的变化对证券市场产生一定的影响，导致市场价格水平波动的风险</w:t>
      </w:r>
      <w:r>
        <w:rPr>
          <w:rFonts w:hint="eastAsia" w:ascii="Times New Roman" w:hAnsi="Times New Roman" w:eastAsia="楷体_GB2312"/>
          <w:highlight w:val="none"/>
          <w:lang w:eastAsia="zh-CN"/>
        </w:rPr>
        <w:t>；</w:t>
      </w:r>
      <w:r>
        <w:rPr>
          <w:rFonts w:hint="eastAsia" w:ascii="Times New Roman" w:hAnsi="Times New Roman" w:eastAsia="楷体_GB2312"/>
          <w:highlight w:val="none"/>
        </w:rPr>
        <w:t xml:space="preserve"> (2)宏观经济运行周期性波动，对股票市场的收益水平产生影响的风险</w:t>
      </w:r>
      <w:r>
        <w:rPr>
          <w:rFonts w:hint="eastAsia" w:ascii="Times New Roman" w:hAnsi="Times New Roman" w:eastAsia="楷体_GB2312"/>
          <w:highlight w:val="none"/>
          <w:lang w:eastAsia="zh-CN"/>
        </w:rPr>
        <w:t>；</w:t>
      </w:r>
      <w:r>
        <w:rPr>
          <w:rFonts w:hint="eastAsia" w:ascii="Times New Roman" w:hAnsi="Times New Roman" w:eastAsia="楷体_GB2312"/>
          <w:highlight w:val="none"/>
        </w:rPr>
        <w:t xml:space="preserve">(3)上市公司的经营状况受多种因素影响，如市场、技术、竞争、管理、财务等都会导致公司盈利发生变化，从而导致股票价格变动的风险。 </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根据中国人民银行、银保监会、证监会、外汇局《关于规范金融机构资产管理业务的指导意见》第四条，“资产管理产品按照投资性质的不同，分为固定收益类产品、权益类产品、商品及金融衍生品类产品和混合类产品。固定收益类产品投资于债权类资产的比例不低于80%，权益类产品投资于股票、未上市股权等权益类资产的比例不低于80%，商品及金融衍生品类产品投资于商品及金融衍生品的比例不低于80%，混合类产品投资于债权类资产、权益类资产、商品及金融衍生品类资产且任一资产的投资比例未达到前三类产品标准。”据此，本产品属于固定收益类理财产品。非因管理人主观因素导致突破前述比例限制的，管理人应当在流动性受限资产可出售、可转让或者恢复交易的15个交易日内调整至符合要求。</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如出现法律法规及政策变化、市场情况变化、异常风险事件等，常熟农商银行需要改变产品约定的实际投向导致产品性质变更的，除高风险类型的产品超出比例范围投资较低风险资产外，应先行取得投资者书面同意，并履行登记备案等法律法规及金融监督管理部门规定的程序。投资者对相关调整有异议的，可按照公告说明办理赎回。</w:t>
      </w:r>
    </w:p>
    <w:p>
      <w:pPr>
        <w:snapToGrid w:val="0"/>
        <w:spacing w:line="360" w:lineRule="exact"/>
        <w:ind w:firstLine="420" w:firstLineChars="200"/>
        <w:rPr>
          <w:rFonts w:hint="eastAsia" w:ascii="楷体_GB2312" w:hAnsi="Times New Roman" w:eastAsia="楷体_GB2312"/>
          <w:highlight w:val="none"/>
        </w:rPr>
      </w:pPr>
      <w:r>
        <w:rPr>
          <w:rFonts w:hint="eastAsia" w:ascii="楷体_GB2312" w:hAnsi="Times New Roman" w:eastAsia="楷体_GB2312"/>
          <w:highlight w:val="none"/>
        </w:rPr>
        <w:t>本产品总资产不超过本产品净资产的</w:t>
      </w:r>
      <w:r>
        <w:rPr>
          <w:rFonts w:hint="eastAsia" w:ascii="楷体_GB2312" w:hAnsi="Times New Roman" w:eastAsia="楷体_GB2312"/>
          <w:highlight w:val="none"/>
          <w:lang w:val="en-US" w:eastAsia="zh-CN"/>
        </w:rPr>
        <w:t>14</w:t>
      </w:r>
      <w:r>
        <w:rPr>
          <w:rFonts w:hint="eastAsia" w:ascii="楷体_GB2312" w:hAnsi="Times New Roman" w:eastAsia="楷体_GB2312"/>
          <w:highlight w:val="none"/>
        </w:rPr>
        <w:t>0%。</w:t>
      </w:r>
    </w:p>
    <w:p>
      <w:pPr>
        <w:snapToGrid w:val="0"/>
        <w:spacing w:line="360" w:lineRule="exact"/>
        <w:ind w:firstLine="420" w:firstLineChars="200"/>
        <w:rPr>
          <w:rFonts w:hint="eastAsia" w:ascii="楷体_GB2312" w:hAnsi="Times New Roman" w:eastAsia="楷体_GB2312"/>
          <w:highlight w:val="none"/>
        </w:rPr>
      </w:pPr>
      <w:r>
        <w:rPr>
          <w:rFonts w:hint="eastAsia" w:ascii="楷体_GB2312" w:hAnsi="Times New Roman" w:eastAsia="楷体_GB2312"/>
          <w:highlight w:val="none"/>
        </w:rPr>
        <w:t>本产品应当持有不低于本产品资产净值5%的现金或者到期日在一年以内的国债、中央银行票据和政策性金融债券。</w:t>
      </w:r>
    </w:p>
    <w:p>
      <w:pPr>
        <w:snapToGrid w:val="0"/>
        <w:spacing w:line="360" w:lineRule="exact"/>
        <w:ind w:firstLine="420" w:firstLineChars="200"/>
        <w:rPr>
          <w:rFonts w:hint="eastAsia" w:ascii="楷体_GB2312" w:hAnsi="Times New Roman" w:eastAsia="楷体_GB2312"/>
          <w:highlight w:val="none"/>
        </w:rPr>
      </w:pPr>
      <w:r>
        <w:rPr>
          <w:rFonts w:hint="eastAsia" w:ascii="楷体_GB2312" w:hAnsi="Times New Roman" w:eastAsia="楷体_GB2312"/>
          <w:highlight w:val="none"/>
        </w:rPr>
        <w:t>本产品持有单只证券或单只证券投资基金的市值不超过本产品净资产的10%。</w:t>
      </w:r>
    </w:p>
    <w:p>
      <w:pPr>
        <w:snapToGrid w:val="0"/>
        <w:spacing w:line="360" w:lineRule="exact"/>
        <w:ind w:firstLine="422" w:firstLineChars="200"/>
        <w:rPr>
          <w:rFonts w:ascii="楷体_GB2312" w:hAnsi="Times New Roman" w:eastAsia="楷体_GB2312"/>
          <w:highlight w:val="none"/>
        </w:rPr>
      </w:pPr>
      <w:r>
        <w:rPr>
          <w:rFonts w:hint="eastAsia" w:ascii="楷体_GB2312" w:hAnsi="Times New Roman" w:eastAsia="楷体_GB2312"/>
          <w:b/>
          <w:highlight w:val="none"/>
        </w:rPr>
        <w:t>（二）投资策略</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本理财计划通过衡量和管理市场波动风险，以固定收益类资产未来利息的净现值，作为后期投资的风险损失限额，动态确定或调整</w:t>
      </w:r>
      <w:r>
        <w:rPr>
          <w:rFonts w:hint="eastAsia" w:ascii="楷体_GB2312" w:hAnsi="Times New Roman" w:eastAsia="楷体_GB2312"/>
          <w:highlight w:val="none"/>
          <w:lang w:eastAsia="zh-CN"/>
        </w:rPr>
        <w:t>权益类资产</w:t>
      </w:r>
      <w:r>
        <w:rPr>
          <w:rFonts w:hint="eastAsia" w:ascii="楷体_GB2312" w:hAnsi="Times New Roman" w:eastAsia="楷体_GB2312"/>
          <w:highlight w:val="none"/>
        </w:rPr>
        <w:t>的投资比例，力争在有效控制风险的前提下实现理财计划资产的增值。</w:t>
      </w:r>
    </w:p>
    <w:p>
      <w:pPr>
        <w:snapToGrid w:val="0"/>
        <w:spacing w:line="360" w:lineRule="exact"/>
        <w:ind w:firstLine="422" w:firstLineChars="200"/>
        <w:rPr>
          <w:rFonts w:ascii="楷体_GB2312" w:hAnsi="Times New Roman" w:eastAsia="楷体_GB2312"/>
          <w:highlight w:val="none"/>
        </w:rPr>
      </w:pPr>
      <w:r>
        <w:rPr>
          <w:rFonts w:hint="eastAsia" w:ascii="楷体_GB2312" w:hAnsi="Times New Roman" w:eastAsia="楷体_GB2312"/>
          <w:b/>
          <w:highlight w:val="none"/>
        </w:rPr>
        <w:t>（三）投资目标</w:t>
      </w:r>
    </w:p>
    <w:p>
      <w:pPr>
        <w:snapToGrid w:val="0"/>
        <w:spacing w:line="360" w:lineRule="exact"/>
        <w:ind w:firstLine="420" w:firstLineChars="200"/>
        <w:rPr>
          <w:rFonts w:ascii="楷体_GB2312" w:hAnsi="Times New Roman" w:eastAsia="楷体_GB2312"/>
          <w:b/>
          <w:sz w:val="28"/>
          <w:highlight w:val="none"/>
        </w:rPr>
      </w:pPr>
      <w:r>
        <w:rPr>
          <w:rFonts w:hint="eastAsia" w:ascii="楷体_GB2312" w:hAnsi="Times New Roman" w:eastAsia="楷体_GB2312"/>
          <w:highlight w:val="none"/>
        </w:rPr>
        <w:t>通过在固定收益类</w:t>
      </w:r>
      <w:r>
        <w:rPr>
          <w:rFonts w:ascii="楷体_GB2312" w:hAnsi="Times New Roman" w:eastAsia="楷体_GB2312"/>
          <w:highlight w:val="none"/>
        </w:rPr>
        <w:t>资产的基础上</w:t>
      </w:r>
      <w:r>
        <w:rPr>
          <w:rFonts w:hint="eastAsia" w:ascii="楷体_GB2312" w:hAnsi="Times New Roman" w:eastAsia="楷体_GB2312"/>
          <w:highlight w:val="none"/>
        </w:rPr>
        <w:t>加入一定</w:t>
      </w:r>
      <w:r>
        <w:rPr>
          <w:rFonts w:ascii="楷体_GB2312" w:hAnsi="Times New Roman" w:eastAsia="楷体_GB2312"/>
          <w:highlight w:val="none"/>
        </w:rPr>
        <w:t>比例</w:t>
      </w:r>
      <w:r>
        <w:rPr>
          <w:rFonts w:hint="eastAsia" w:ascii="楷体_GB2312" w:hAnsi="Times New Roman" w:eastAsia="楷体_GB2312"/>
          <w:highlight w:val="none"/>
        </w:rPr>
        <w:t>风险</w:t>
      </w:r>
      <w:r>
        <w:rPr>
          <w:rFonts w:ascii="楷体_GB2312" w:hAnsi="Times New Roman" w:eastAsia="楷体_GB2312"/>
          <w:highlight w:val="none"/>
        </w:rPr>
        <w:t>资产</w:t>
      </w:r>
      <w:r>
        <w:rPr>
          <w:rFonts w:hint="eastAsia" w:ascii="楷体_GB2312" w:hAnsi="Times New Roman" w:eastAsia="楷体_GB2312"/>
          <w:highlight w:val="none"/>
        </w:rPr>
        <w:t>，达到较纯固定</w:t>
      </w:r>
      <w:r>
        <w:rPr>
          <w:rFonts w:ascii="楷体_GB2312" w:hAnsi="Times New Roman" w:eastAsia="楷体_GB2312"/>
          <w:highlight w:val="none"/>
        </w:rPr>
        <w:t>收益类产品更高的收益</w:t>
      </w:r>
      <w:r>
        <w:rPr>
          <w:rFonts w:hint="eastAsia" w:ascii="楷体_GB2312" w:hAnsi="Times New Roman" w:eastAsia="楷体_GB2312"/>
          <w:highlight w:val="none"/>
        </w:rPr>
        <w:t>水平。</w:t>
      </w:r>
    </w:p>
    <w:bookmarkEnd w:id="0"/>
    <w:bookmarkEnd w:id="1"/>
    <w:bookmarkEnd w:id="2"/>
    <w:bookmarkEnd w:id="3"/>
    <w:p>
      <w:pPr>
        <w:autoSpaceDE w:val="0"/>
        <w:autoSpaceDN w:val="0"/>
        <w:adjustRightInd w:val="0"/>
        <w:spacing w:line="360" w:lineRule="atLeast"/>
        <w:jc w:val="left"/>
        <w:rPr>
          <w:highlight w:val="none"/>
        </w:rPr>
      </w:pPr>
      <w:bookmarkStart w:id="4" w:name="_Toc24442995"/>
      <w:bookmarkStart w:id="5" w:name="_Toc37147671"/>
      <w:bookmarkStart w:id="6" w:name="_Toc24442823"/>
      <w:bookmarkStart w:id="7" w:name="_Toc24442938"/>
    </w:p>
    <w:p>
      <w:pPr>
        <w:pStyle w:val="2"/>
        <w:snapToGrid w:val="0"/>
        <w:spacing w:before="0" w:after="0" w:line="360" w:lineRule="atLeast"/>
        <w:jc w:val="center"/>
        <w:rPr>
          <w:rFonts w:eastAsia="楷体_GB2312"/>
          <w:sz w:val="28"/>
          <w:highlight w:val="none"/>
        </w:rPr>
      </w:pPr>
      <w:r>
        <w:rPr>
          <w:rFonts w:hint="eastAsia" w:eastAsia="楷体_GB2312"/>
          <w:sz w:val="28"/>
          <w:highlight w:val="none"/>
          <w:lang w:eastAsia="zh-CN"/>
        </w:rPr>
        <w:t>七</w:t>
      </w:r>
      <w:r>
        <w:rPr>
          <w:rFonts w:hint="eastAsia" w:eastAsia="楷体_GB2312"/>
          <w:sz w:val="28"/>
          <w:highlight w:val="none"/>
        </w:rPr>
        <w:t>、产品的终止与清算</w:t>
      </w:r>
    </w:p>
    <w:p>
      <w:pPr>
        <w:snapToGrid w:val="0"/>
        <w:spacing w:line="360" w:lineRule="exact"/>
        <w:ind w:firstLine="422" w:firstLineChars="200"/>
        <w:rPr>
          <w:rFonts w:ascii="楷体_GB2312" w:hAnsi="Times New Roman" w:eastAsia="楷体_GB2312"/>
          <w:b/>
          <w:bCs/>
          <w:highlight w:val="none"/>
        </w:rPr>
      </w:pPr>
      <w:r>
        <w:rPr>
          <w:rFonts w:hint="eastAsia" w:ascii="楷体_GB2312" w:hAnsi="Times New Roman" w:eastAsia="楷体_GB2312"/>
          <w:b/>
          <w:bCs/>
          <w:highlight w:val="none"/>
        </w:rPr>
        <w:t>（一）产品的终止</w:t>
      </w:r>
    </w:p>
    <w:p>
      <w:pPr>
        <w:snapToGrid w:val="0"/>
        <w:spacing w:line="360" w:lineRule="exact"/>
        <w:ind w:firstLine="422" w:firstLineChars="200"/>
        <w:rPr>
          <w:rFonts w:hint="eastAsia" w:ascii="楷体_GB2312" w:hAnsi="Times New Roman" w:eastAsia="楷体_GB2312"/>
          <w:b/>
          <w:highlight w:val="none"/>
        </w:rPr>
      </w:pPr>
      <w:r>
        <w:rPr>
          <w:rFonts w:hint="eastAsia" w:ascii="楷体_GB2312" w:hAnsi="Times New Roman" w:eastAsia="楷体_GB2312"/>
          <w:b/>
          <w:highlight w:val="none"/>
        </w:rPr>
        <w:t>出现以下任一情况，常熟农商银行有权提前终止本产品：</w:t>
      </w:r>
    </w:p>
    <w:p>
      <w:pPr>
        <w:snapToGrid w:val="0"/>
        <w:spacing w:line="360" w:lineRule="exact"/>
        <w:ind w:firstLine="422" w:firstLineChars="200"/>
        <w:rPr>
          <w:rFonts w:hint="eastAsia" w:ascii="楷体_GB2312" w:hAnsi="Times New Roman" w:eastAsia="楷体_GB2312"/>
          <w:b/>
          <w:highlight w:val="none"/>
        </w:rPr>
      </w:pPr>
      <w:r>
        <w:rPr>
          <w:rFonts w:hint="eastAsia" w:ascii="楷体_GB2312" w:hAnsi="Times New Roman" w:eastAsia="楷体_GB2312"/>
          <w:b/>
          <w:highlight w:val="none"/>
        </w:rPr>
        <w:t>1、若本产品当日份额低于</w:t>
      </w:r>
      <w:r>
        <w:rPr>
          <w:rFonts w:hint="eastAsia" w:ascii="楷体_GB2312" w:hAnsi="Times New Roman" w:eastAsia="楷体_GB2312"/>
          <w:b/>
          <w:highlight w:val="none"/>
          <w:u w:val="single"/>
        </w:rPr>
        <w:t>2000</w:t>
      </w:r>
      <w:r>
        <w:rPr>
          <w:rFonts w:hint="eastAsia" w:ascii="楷体_GB2312" w:hAnsi="Times New Roman" w:eastAsia="楷体_GB2312"/>
          <w:b/>
          <w:highlight w:val="none"/>
        </w:rPr>
        <w:t>万份时；</w:t>
      </w:r>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lang w:val="en-US" w:eastAsia="zh-CN"/>
        </w:rPr>
        <w:t>2</w:t>
      </w:r>
      <w:r>
        <w:rPr>
          <w:rFonts w:hint="eastAsia" w:ascii="楷体_GB2312" w:hAnsi="Times New Roman" w:eastAsia="楷体_GB2312"/>
          <w:b/>
          <w:highlight w:val="none"/>
        </w:rPr>
        <w:t>、监管机构要求或法律法规规定的其它情形导致本产品终止；</w:t>
      </w:r>
    </w:p>
    <w:p>
      <w:pPr>
        <w:snapToGrid w:val="0"/>
        <w:spacing w:line="360" w:lineRule="exact"/>
        <w:ind w:firstLine="422" w:firstLineChars="200"/>
        <w:rPr>
          <w:rFonts w:ascii="楷体_GB2312" w:hAnsi="Times New Roman" w:eastAsia="楷体_GB2312"/>
          <w:highlight w:val="none"/>
        </w:rPr>
      </w:pPr>
      <w:r>
        <w:rPr>
          <w:rFonts w:hint="eastAsia" w:ascii="楷体_GB2312" w:hAnsi="Times New Roman" w:eastAsia="楷体_GB2312"/>
          <w:b/>
          <w:highlight w:val="none"/>
          <w:lang w:val="en-US" w:eastAsia="zh-CN"/>
        </w:rPr>
        <w:t>3</w:t>
      </w:r>
      <w:r>
        <w:rPr>
          <w:rFonts w:hint="eastAsia" w:ascii="楷体_GB2312" w:hAnsi="Times New Roman" w:eastAsia="楷体_GB2312"/>
          <w:b/>
          <w:highlight w:val="none"/>
        </w:rPr>
        <w:t>、常熟农商银行根据市场情况认为需要提前终止本产品。</w:t>
      </w:r>
    </w:p>
    <w:p>
      <w:pPr>
        <w:pStyle w:val="4"/>
        <w:spacing w:line="360" w:lineRule="exact"/>
        <w:ind w:left="0" w:firstLine="420" w:firstLineChars="200"/>
        <w:rPr>
          <w:rFonts w:ascii="楷体_GB2312" w:hAnsi="Times New Roman" w:eastAsia="楷体_GB2312"/>
          <w:highlight w:val="none"/>
        </w:rPr>
      </w:pPr>
      <w:r>
        <w:rPr>
          <w:rFonts w:hint="eastAsia" w:ascii="楷体_GB2312" w:hAnsi="Times New Roman" w:eastAsia="楷体_GB2312"/>
          <w:highlight w:val="none"/>
        </w:rPr>
        <w:t>若常熟农商银行宣布提前终止本产品，将提前两个工作日通过银行网站进行公告。</w:t>
      </w:r>
    </w:p>
    <w:p>
      <w:pPr>
        <w:pStyle w:val="4"/>
        <w:spacing w:line="360" w:lineRule="exact"/>
        <w:ind w:left="0" w:firstLine="420" w:firstLineChars="200"/>
        <w:rPr>
          <w:rFonts w:ascii="楷体_GB2312" w:hAnsi="Times New Roman" w:eastAsia="楷体_GB2312"/>
          <w:highlight w:val="none"/>
        </w:rPr>
      </w:pPr>
      <w:r>
        <w:rPr>
          <w:rFonts w:hint="eastAsia" w:ascii="楷体_GB2312" w:hAnsi="Times New Roman" w:eastAsia="楷体_GB2312"/>
          <w:highlight w:val="none"/>
        </w:rPr>
        <w:t>本产品终止（包括提前终止及到期终止）后，常熟农商银行将于产品清算完成后两个工作日内将投资者可获理财本金及收益（如有）划至投资者指定账户。</w:t>
      </w:r>
    </w:p>
    <w:p>
      <w:pPr>
        <w:snapToGrid w:val="0"/>
        <w:spacing w:line="360" w:lineRule="exact"/>
        <w:ind w:firstLine="422" w:firstLineChars="200"/>
        <w:rPr>
          <w:rFonts w:ascii="楷体_GB2312" w:hAnsi="Times New Roman" w:eastAsia="楷体_GB2312"/>
          <w:b/>
          <w:bCs/>
          <w:highlight w:val="none"/>
        </w:rPr>
      </w:pPr>
      <w:r>
        <w:rPr>
          <w:rFonts w:hint="eastAsia" w:ascii="楷体_GB2312" w:hAnsi="Times New Roman" w:eastAsia="楷体_GB2312"/>
          <w:b/>
          <w:bCs/>
          <w:highlight w:val="none"/>
        </w:rPr>
        <w:t>（二）产品资产的清算</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产品终止，应当按照法律法规和本产品说明书的有关规定对产品资产进行清算。</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1、清算程序</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（1）产品终止后，由产品管理人成立资产清算组；</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（2）产品资产清算组根据产品资产的情况确定清算期限，清算最长期限不得超过五个工作日，除非由于不可抗力原因导致清算无法进行；</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（3）产品资产清算组对产品资产进行清理和确认；</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（4）对产品资产进行评估和变现；</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（5）对产品资产进行分配。</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2、清算费用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分别按照实际发生费用从产品资产中列支。</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3、产品资产清算剩余资产的分配</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产品资产按下列顺序清偿：</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（1）支付清算费用；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（2）交纳所欠税款；</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（3）清偿产品债务（包括管理费、托管费及其他债务）；</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（4）按投资者持有的产品份额比例进行分配。</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产品资产未按前款（1）至（3）项规定清偿前，不分配给投资者。</w:t>
      </w:r>
    </w:p>
    <w:p>
      <w:pPr>
        <w:snapToGrid w:val="0"/>
        <w:spacing w:line="360" w:lineRule="exact"/>
        <w:ind w:firstLine="420" w:firstLineChars="200"/>
        <w:rPr>
          <w:highlight w:val="none"/>
        </w:rPr>
      </w:pPr>
    </w:p>
    <w:p>
      <w:pPr>
        <w:pStyle w:val="2"/>
        <w:spacing w:before="0" w:after="0" w:line="360" w:lineRule="atLeast"/>
        <w:jc w:val="center"/>
        <w:rPr>
          <w:rFonts w:eastAsia="楷体_GB2312"/>
          <w:sz w:val="28"/>
          <w:szCs w:val="28"/>
          <w:highlight w:val="none"/>
        </w:rPr>
      </w:pPr>
      <w:r>
        <w:rPr>
          <w:rFonts w:hint="eastAsia" w:eastAsia="楷体_GB2312"/>
          <w:sz w:val="28"/>
          <w:szCs w:val="28"/>
          <w:highlight w:val="none"/>
          <w:lang w:eastAsia="zh-CN"/>
        </w:rPr>
        <w:t>八</w:t>
      </w:r>
      <w:r>
        <w:rPr>
          <w:rFonts w:hint="eastAsia" w:eastAsia="楷体_GB2312"/>
          <w:sz w:val="28"/>
          <w:szCs w:val="28"/>
          <w:highlight w:val="none"/>
        </w:rPr>
        <w:t>、产品的</w:t>
      </w:r>
      <w:r>
        <w:rPr>
          <w:rFonts w:eastAsia="楷体_GB2312"/>
          <w:sz w:val="28"/>
          <w:szCs w:val="28"/>
          <w:highlight w:val="none"/>
        </w:rPr>
        <w:t>会计核算与托管</w:t>
      </w:r>
    </w:p>
    <w:p>
      <w:pPr>
        <w:snapToGrid w:val="0"/>
        <w:spacing w:line="360" w:lineRule="exact"/>
        <w:ind w:firstLine="422" w:firstLineChars="200"/>
        <w:rPr>
          <w:rFonts w:ascii="楷体_GB2312" w:eastAsia="楷体_GB2312"/>
          <w:b/>
          <w:bCs/>
          <w:szCs w:val="21"/>
          <w:highlight w:val="none"/>
        </w:rPr>
      </w:pPr>
      <w:r>
        <w:rPr>
          <w:rFonts w:hint="eastAsia" w:ascii="楷体_GB2312" w:eastAsia="楷体_GB2312"/>
          <w:b/>
          <w:bCs/>
          <w:szCs w:val="21"/>
          <w:highlight w:val="none"/>
        </w:rPr>
        <w:t>（一）产品的会计核算</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1、会计政策</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（1）本产品资产的会计年度为每年1月1日至12月31日。</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（2）记账本位币为人民币，记账单位为元。</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（3）本产品资产的会计核算按《会计准则》等符合监管要求的会计准则执行。</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2、会计核算要求</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（1）产品管理人、托管人应根据有关法律法规，对委托资产进行建账核算。</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（2）产品管理人、托管人应保留完整的会计账目、凭证并进行日常的会计核算，编制会计报表。</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（3）产品管理人应定期与托管人就本产品资产进行核对。</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3、资产总值</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资产总值是指本产品所投资的各类有价证券、银行存款本息、各项应收款以及其他资产所形成的价值总和。</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4、资产净值</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本产品资产净值是指本理财产品资产总值减去负债后的价值。</w:t>
      </w:r>
    </w:p>
    <w:p>
      <w:pPr>
        <w:snapToGrid w:val="0"/>
        <w:spacing w:line="360" w:lineRule="exact"/>
        <w:ind w:firstLine="420" w:firstLineChars="200"/>
        <w:rPr>
          <w:rFonts w:ascii="楷体_GB2312" w:eastAsia="楷体_GB2312"/>
          <w:szCs w:val="21"/>
          <w:highlight w:val="none"/>
        </w:rPr>
      </w:pPr>
      <w:r>
        <w:rPr>
          <w:rFonts w:ascii="楷体_GB2312" w:eastAsia="楷体_GB2312"/>
          <w:szCs w:val="21"/>
          <w:highlight w:val="none"/>
        </w:rPr>
        <w:t>5</w:t>
      </w:r>
      <w:r>
        <w:rPr>
          <w:rFonts w:hint="eastAsia" w:ascii="楷体_GB2312" w:eastAsia="楷体_GB2312"/>
          <w:szCs w:val="21"/>
          <w:highlight w:val="none"/>
        </w:rPr>
        <w:t>、资产账册的建立</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产品管理人、托管人保管各自取得的会计原始凭证。</w:t>
      </w:r>
    </w:p>
    <w:p>
      <w:pPr>
        <w:snapToGrid w:val="0"/>
        <w:spacing w:line="360" w:lineRule="exact"/>
        <w:ind w:firstLine="422" w:firstLineChars="200"/>
        <w:rPr>
          <w:rFonts w:ascii="楷体_GB2312" w:eastAsia="楷体_GB2312"/>
          <w:b/>
          <w:bCs/>
          <w:szCs w:val="21"/>
          <w:highlight w:val="none"/>
        </w:rPr>
      </w:pPr>
      <w:r>
        <w:rPr>
          <w:rFonts w:hint="eastAsia" w:ascii="楷体_GB2312" w:eastAsia="楷体_GB2312"/>
          <w:b/>
          <w:bCs/>
          <w:szCs w:val="21"/>
          <w:highlight w:val="none"/>
        </w:rPr>
        <w:t>（二）产品的</w:t>
      </w:r>
      <w:r>
        <w:rPr>
          <w:rFonts w:ascii="楷体_GB2312" w:eastAsia="楷体_GB2312"/>
          <w:b/>
          <w:bCs/>
          <w:szCs w:val="21"/>
          <w:highlight w:val="none"/>
        </w:rPr>
        <w:t>托管</w:t>
      </w:r>
    </w:p>
    <w:p>
      <w:pPr>
        <w:snapToGrid w:val="0"/>
        <w:spacing w:line="360" w:lineRule="exact"/>
        <w:ind w:firstLine="420" w:firstLineChars="200"/>
        <w:rPr>
          <w:highlight w:val="none"/>
        </w:rPr>
      </w:pPr>
      <w:r>
        <w:rPr>
          <w:rFonts w:hint="eastAsia" w:ascii="楷体_GB2312" w:eastAsia="楷体_GB2312"/>
          <w:szCs w:val="21"/>
          <w:highlight w:val="none"/>
        </w:rPr>
        <w:t>1、托管人为具有证券投资基金托管业务资格的金融机构。产品管理人与托管人签署书面托管协议约定托管具体事宜。</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w:t>
      </w:r>
      <w:r>
        <w:rPr>
          <w:rFonts w:hint="eastAsia" w:ascii="楷体_GB2312" w:eastAsia="楷体_GB2312"/>
          <w:szCs w:val="21"/>
          <w:highlight w:val="none"/>
        </w:rPr>
        <w:tab/>
      </w:r>
      <w:r>
        <w:rPr>
          <w:rFonts w:hint="eastAsia" w:ascii="楷体_GB2312" w:eastAsia="楷体_GB2312"/>
          <w:szCs w:val="21"/>
          <w:highlight w:val="none"/>
        </w:rPr>
        <w:t>托管人职责</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rPr>
        <w:t>（1）安全保管理财产品财产；</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lang w:eastAsia="zh-CN"/>
        </w:rPr>
        <w:t>（</w:t>
      </w:r>
      <w:r>
        <w:rPr>
          <w:rFonts w:hint="eastAsia" w:ascii="楷体_GB2312" w:eastAsia="楷体_GB2312"/>
          <w:szCs w:val="21"/>
          <w:highlight w:val="none"/>
          <w:lang w:val="en-US" w:eastAsia="zh-CN"/>
        </w:rPr>
        <w:t>2</w:t>
      </w:r>
      <w:r>
        <w:rPr>
          <w:rFonts w:hint="eastAsia" w:ascii="楷体_GB2312" w:eastAsia="楷体_GB2312"/>
          <w:szCs w:val="21"/>
          <w:highlight w:val="none"/>
          <w:lang w:eastAsia="zh-CN"/>
        </w:rPr>
        <w:t>）</w:t>
      </w:r>
      <w:r>
        <w:rPr>
          <w:rFonts w:hint="eastAsia" w:ascii="楷体_GB2312" w:eastAsia="楷体_GB2312"/>
          <w:szCs w:val="21"/>
          <w:highlight w:val="none"/>
        </w:rPr>
        <w:t>为每只理财产品开设独立的托管账户，不同托管账户中的资产应当相互独立；</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val="en-US" w:eastAsia="zh-CN"/>
        </w:rPr>
        <w:t>3</w:t>
      </w:r>
      <w:r>
        <w:rPr>
          <w:rFonts w:hint="eastAsia" w:ascii="楷体_GB2312" w:eastAsia="楷体_GB2312"/>
          <w:szCs w:val="21"/>
          <w:highlight w:val="none"/>
        </w:rPr>
        <w:t>）按照托管协议约定和产品管理人的投资指令，及时办理清算、交割事宜；</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val="en-US" w:eastAsia="zh-CN"/>
        </w:rPr>
        <w:t>4</w:t>
      </w:r>
      <w:r>
        <w:rPr>
          <w:rFonts w:hint="eastAsia" w:ascii="楷体_GB2312" w:eastAsia="楷体_GB2312"/>
          <w:szCs w:val="21"/>
          <w:highlight w:val="none"/>
        </w:rPr>
        <w:t>）建立与产品管理人的对账机制，复核、审查理财产品资金头寸、资产账目、认购和赎回价格等数据，及时核查认购、赎回以及投资资金的支付和到账情况；</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val="en-US" w:eastAsia="zh-CN"/>
        </w:rPr>
        <w:t>5</w:t>
      </w:r>
      <w:r>
        <w:rPr>
          <w:rFonts w:hint="eastAsia" w:ascii="楷体_GB2312" w:eastAsia="楷体_GB2312"/>
          <w:szCs w:val="21"/>
          <w:highlight w:val="none"/>
        </w:rPr>
        <w:t>）监督理财产品投资运作，发现理财产品违反法律、行政法规、规章规定或合同约定进行投资的，应当拒绝执行，及时通知产品管理人并报告银行业监督管理机构；</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lang w:eastAsia="zh-CN"/>
        </w:rPr>
        <w:t>（</w:t>
      </w:r>
      <w:r>
        <w:rPr>
          <w:rFonts w:hint="eastAsia" w:ascii="楷体_GB2312" w:eastAsia="楷体_GB2312"/>
          <w:szCs w:val="21"/>
          <w:highlight w:val="none"/>
          <w:lang w:val="en-US" w:eastAsia="zh-CN"/>
        </w:rPr>
        <w:t>6</w:t>
      </w:r>
      <w:r>
        <w:rPr>
          <w:rFonts w:hint="eastAsia" w:ascii="楷体_GB2312" w:eastAsia="楷体_GB2312"/>
          <w:szCs w:val="21"/>
          <w:highlight w:val="none"/>
          <w:lang w:eastAsia="zh-CN"/>
        </w:rPr>
        <w:t>）</w:t>
      </w:r>
      <w:r>
        <w:rPr>
          <w:rFonts w:hint="eastAsia" w:ascii="楷体_GB2312" w:eastAsia="楷体_GB2312"/>
          <w:szCs w:val="21"/>
          <w:highlight w:val="none"/>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val="en-US" w:eastAsia="zh-CN"/>
        </w:rPr>
        <w:t>7</w:t>
      </w:r>
      <w:r>
        <w:rPr>
          <w:rFonts w:hint="eastAsia" w:ascii="楷体_GB2312" w:eastAsia="楷体_GB2312"/>
          <w:szCs w:val="21"/>
          <w:highlight w:val="none"/>
        </w:rPr>
        <w:t>）国务院银行业监督管理机构规定的其他职责。</w:t>
      </w:r>
    </w:p>
    <w:p>
      <w:pPr>
        <w:snapToGrid w:val="0"/>
        <w:spacing w:line="360" w:lineRule="exact"/>
        <w:ind w:firstLine="420" w:firstLineChars="200"/>
        <w:rPr>
          <w:rFonts w:ascii="楷体_GB2312" w:eastAsia="楷体_GB2312"/>
          <w:szCs w:val="21"/>
          <w:highlight w:val="none"/>
        </w:rPr>
      </w:pPr>
    </w:p>
    <w:p>
      <w:pPr>
        <w:pStyle w:val="2"/>
        <w:spacing w:before="0" w:after="0" w:line="360" w:lineRule="atLeast"/>
        <w:jc w:val="center"/>
        <w:rPr>
          <w:rFonts w:eastAsia="楷体_GB2312"/>
          <w:sz w:val="28"/>
          <w:highlight w:val="none"/>
        </w:rPr>
      </w:pPr>
      <w:r>
        <w:rPr>
          <w:rFonts w:hint="eastAsia" w:eastAsia="楷体_GB2312"/>
          <w:sz w:val="28"/>
          <w:highlight w:val="none"/>
          <w:lang w:eastAsia="zh-CN"/>
        </w:rPr>
        <w:t>九</w:t>
      </w:r>
      <w:r>
        <w:rPr>
          <w:rFonts w:hint="eastAsia" w:eastAsia="楷体_GB2312"/>
          <w:sz w:val="28"/>
          <w:highlight w:val="none"/>
        </w:rPr>
        <w:t>、资产估值</w:t>
      </w:r>
      <w:bookmarkEnd w:id="4"/>
      <w:bookmarkEnd w:id="5"/>
      <w:bookmarkEnd w:id="6"/>
      <w:bookmarkEnd w:id="7"/>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（一）产品资产估值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产品资产的估值目的是客观、准确地反映产品资产的价值，确定产品资产净值，并为产品到期兑付提供计价依据。</w:t>
      </w:r>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（二）估值方法</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理财产品所投资各类资产原则上按照公允价值估值，具体估值方法如下：</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1、货币市场工具类的估值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（1）银行存款以本金列示，逐日计提利息；</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（2）货币基金以当日基金净值估值。</w:t>
      </w:r>
    </w:p>
    <w:p>
      <w:pPr>
        <w:widowControl w:val="0"/>
        <w:snapToGrid w:val="0"/>
        <w:spacing w:line="360" w:lineRule="exact"/>
        <w:ind w:firstLine="420" w:firstLineChars="200"/>
        <w:jc w:val="both"/>
        <w:rPr>
          <w:rFonts w:hint="eastAsia" w:ascii="楷体_GB2312" w:hAnsi="Times New Roman" w:eastAsia="楷体_GB2312"/>
          <w:sz w:val="21"/>
          <w:szCs w:val="20"/>
          <w:highlight w:val="none"/>
        </w:rPr>
      </w:pPr>
      <w:r>
        <w:rPr>
          <w:rFonts w:hint="eastAsia" w:ascii="楷体_GB2312" w:hAnsi="Times New Roman" w:eastAsia="楷体_GB2312"/>
          <w:highlight w:val="none"/>
        </w:rPr>
        <w:t>2、债券类的估值</w:t>
      </w:r>
      <w:r>
        <w:rPr>
          <w:rFonts w:hint="eastAsia" w:ascii="楷体_GB2312" w:hAnsi="Times New Roman" w:eastAsia="楷体_GB2312"/>
          <w:highlight w:val="none"/>
          <w:lang w:eastAsia="zh-CN"/>
        </w:rPr>
        <w:t>：</w:t>
      </w:r>
      <w:r>
        <w:rPr>
          <w:rFonts w:hint="eastAsia" w:ascii="楷体_GB2312" w:hAnsi="Times New Roman" w:eastAsia="楷体_GB2312"/>
          <w:sz w:val="21"/>
          <w:szCs w:val="20"/>
          <w:highlight w:val="none"/>
        </w:rPr>
        <w:t>按照</w:t>
      </w:r>
      <w:r>
        <w:rPr>
          <w:rFonts w:hint="eastAsia" w:ascii="楷体_GB2312" w:hAnsi="Times New Roman" w:eastAsia="楷体_GB2312"/>
          <w:sz w:val="21"/>
          <w:szCs w:val="20"/>
          <w:highlight w:val="none"/>
          <w:lang w:eastAsia="zh-CN"/>
        </w:rPr>
        <w:t>中债或中证等</w:t>
      </w:r>
      <w:r>
        <w:rPr>
          <w:rFonts w:hint="eastAsia" w:ascii="楷体_GB2312" w:hAnsi="Times New Roman" w:eastAsia="楷体_GB2312"/>
          <w:sz w:val="21"/>
          <w:szCs w:val="20"/>
          <w:highlight w:val="none"/>
        </w:rPr>
        <w:t>第三方估值机构提供的相应品种当日的估值净价进行估值。</w:t>
      </w:r>
    </w:p>
    <w:p>
      <w:pPr>
        <w:snapToGrid w:val="0"/>
        <w:spacing w:line="360" w:lineRule="exact"/>
        <w:ind w:firstLine="420" w:firstLineChars="200"/>
        <w:rPr>
          <w:rFonts w:hint="eastAsia" w:ascii="楷体_GB2312" w:hAnsi="Times New Roman" w:eastAsia="楷体_GB2312"/>
          <w:highlight w:val="none"/>
        </w:rPr>
      </w:pPr>
      <w:r>
        <w:rPr>
          <w:rFonts w:hint="eastAsia" w:ascii="楷体_GB2312" w:hAnsi="Times New Roman" w:eastAsia="楷体_GB2312"/>
          <w:highlight w:val="none"/>
          <w:lang w:val="en-US" w:eastAsia="zh-CN"/>
        </w:rPr>
        <w:t>3</w:t>
      </w:r>
      <w:r>
        <w:rPr>
          <w:rFonts w:hint="eastAsia" w:ascii="楷体_GB2312" w:hAnsi="Times New Roman" w:eastAsia="楷体_GB2312"/>
          <w:highlight w:val="none"/>
        </w:rPr>
        <w:t>、基金类资产</w:t>
      </w:r>
      <w:r>
        <w:rPr>
          <w:rFonts w:ascii="楷体_GB2312" w:hAnsi="Times New Roman" w:eastAsia="楷体_GB2312"/>
          <w:highlight w:val="none"/>
        </w:rPr>
        <w:t>的估值</w:t>
      </w:r>
      <w:r>
        <w:rPr>
          <w:rFonts w:hint="eastAsia" w:ascii="楷体_GB2312" w:hAnsi="Times New Roman" w:eastAsia="楷体_GB2312"/>
          <w:highlight w:val="none"/>
        </w:rPr>
        <w:t>：以基金的管理人等和资产托管人共同确认的净值或投资收益情况进行估值。</w:t>
      </w:r>
    </w:p>
    <w:p>
      <w:pPr>
        <w:widowControl w:val="0"/>
        <w:numPr>
          <w:ilvl w:val="0"/>
          <w:numId w:val="0"/>
        </w:numPr>
        <w:snapToGrid w:val="0"/>
        <w:spacing w:line="360" w:lineRule="exact"/>
        <w:ind w:firstLine="420" w:firstLineChars="200"/>
        <w:jc w:val="both"/>
        <w:rPr>
          <w:rFonts w:hint="eastAsia" w:ascii="楷体_GB2312" w:hAnsi="Times New Roman" w:eastAsia="楷体_GB2312"/>
          <w:sz w:val="21"/>
          <w:szCs w:val="20"/>
          <w:highlight w:val="none"/>
        </w:rPr>
      </w:pPr>
      <w:r>
        <w:rPr>
          <w:rFonts w:hint="eastAsia" w:ascii="楷体_GB2312" w:hAnsi="Times New Roman" w:eastAsia="楷体_GB2312"/>
          <w:sz w:val="21"/>
          <w:szCs w:val="20"/>
          <w:highlight w:val="none"/>
          <w:lang w:val="en-US" w:eastAsia="zh-CN"/>
        </w:rPr>
        <w:t>4、</w:t>
      </w:r>
      <w:r>
        <w:rPr>
          <w:rFonts w:hint="eastAsia" w:ascii="楷体_GB2312" w:hAnsi="Times New Roman" w:eastAsia="楷体_GB2312"/>
          <w:sz w:val="21"/>
          <w:szCs w:val="20"/>
          <w:highlight w:val="none"/>
        </w:rPr>
        <w:t>其他资产的估值方法。存在公允价值的，按照公允价值估值，公允价值不能确定的按照成本法进行估值。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5、国家有最新规定的，按其规定进行估值。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6、在任何情况下，产品管理人与托管人所共同认可的估值方式均视为客观、公允的估值方法。该产品估值均以产品公布的估值结果为准。</w:t>
      </w:r>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（三）估值错误的处理</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当产品资产的估值导致产品单位净值小数点后两位内发生差错时，视为产品单位净值估值错误。产品管理人和产品托管人将采取必要、适当合理的措施确保产品资产估值的准确性、及时性。当产品单位净值出现错误时，产品管理人应当立即予以纠正，并采取合理的措施防止损失进一步扩大。由于本产品估值所用的价格来源中出现错误，或由于其它不可抗力原因，产品管理人和产品托管人虽然已经采取必要、适当、合理的措施进行检查，但是未能发现该错误的，由此造成的产品资产估值错误，产品管理人和产品托管人可以免除赔偿责任。但产品管理人和产品托管人应当积极采取必要的措施消除由此造成的影响。</w:t>
      </w:r>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（四）暂停估值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当产品资产的估值因不可抗力或其它情形致使产品管理人（或其授权人）、托管人无法准确评估产品资产价值时或金融监督管理部门认定的其它情形，产品管理人（或其授权人）可暂停产品的估值直至另行通知。</w:t>
      </w:r>
    </w:p>
    <w:p>
      <w:pPr>
        <w:snapToGrid w:val="0"/>
        <w:spacing w:line="360" w:lineRule="exact"/>
        <w:ind w:firstLine="420" w:firstLineChars="200"/>
        <w:rPr>
          <w:rFonts w:ascii="楷体_GB2312" w:hAnsi="Times New Roman" w:eastAsia="楷体_GB2312"/>
          <w:highlight w:val="none"/>
        </w:rPr>
      </w:pPr>
    </w:p>
    <w:p>
      <w:pPr>
        <w:pStyle w:val="2"/>
        <w:spacing w:before="0" w:after="0" w:line="360" w:lineRule="atLeast"/>
        <w:jc w:val="center"/>
        <w:rPr>
          <w:rFonts w:eastAsia="楷体_GB2312"/>
          <w:color w:val="auto"/>
          <w:sz w:val="28"/>
          <w:szCs w:val="28"/>
          <w:highlight w:val="none"/>
        </w:rPr>
      </w:pPr>
      <w:r>
        <w:rPr>
          <w:rFonts w:hint="eastAsia" w:eastAsia="楷体_GB2312"/>
          <w:sz w:val="28"/>
          <w:highlight w:val="none"/>
          <w:lang w:eastAsia="zh-CN"/>
        </w:rPr>
        <w:t>十</w:t>
      </w:r>
      <w:r>
        <w:rPr>
          <w:rFonts w:hint="eastAsia" w:eastAsia="楷体_GB2312"/>
          <w:sz w:val="28"/>
          <w:highlight w:val="none"/>
        </w:rPr>
        <w:t>、</w:t>
      </w:r>
      <w:r>
        <w:rPr>
          <w:rFonts w:hint="eastAsia" w:eastAsia="楷体_GB2312"/>
          <w:color w:val="auto"/>
          <w:sz w:val="28"/>
          <w:szCs w:val="28"/>
          <w:highlight w:val="none"/>
        </w:rPr>
        <w:t>信息披露</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本产品的信息披露应符合产品说明书的有关规定。本产品信息披露事项应当在规定时间内，将应予披露的产品信息通过产品说明书中约定的途径披露。</w:t>
      </w:r>
    </w:p>
    <w:p>
      <w:pPr>
        <w:snapToGrid w:val="0"/>
        <w:spacing w:line="360" w:lineRule="exact"/>
        <w:ind w:firstLine="422" w:firstLineChars="200"/>
        <w:rPr>
          <w:rFonts w:ascii="楷体_GB2312" w:eastAsia="楷体_GB2312"/>
          <w:b/>
          <w:bCs/>
          <w:color w:val="auto"/>
          <w:szCs w:val="21"/>
          <w:highlight w:val="none"/>
        </w:rPr>
      </w:pPr>
      <w:r>
        <w:rPr>
          <w:rFonts w:hint="eastAsia" w:ascii="楷体_GB2312" w:eastAsia="楷体_GB2312"/>
          <w:b/>
          <w:bCs/>
          <w:color w:val="auto"/>
          <w:szCs w:val="21"/>
          <w:highlight w:val="none"/>
        </w:rPr>
        <w:t>（一）产品募集信息披露</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1.产品说明书</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产品管理人应当在正式办理产品份额认购业务前，将产品说明书在产品管理人官方网站上公布。</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2.产品发行公告</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产品管理人应当在产品成立后五个工作日在产品管理人官方网站上公告产品成立日期、募集规模等信息。</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3.更新产品说明书</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产品成立后，如产品说明书内容有所变更，应在变更前进行披露，并将更新后的产品说明书登载在产品管理人官方网站上，更新的产品说明书自更新日生效。客户如不同意补充或修改后的说明书，可根据产品管理人的公告或通知赎回本产品。</w:t>
      </w:r>
    </w:p>
    <w:p>
      <w:pPr>
        <w:snapToGrid w:val="0"/>
        <w:spacing w:line="360" w:lineRule="exact"/>
        <w:ind w:firstLine="422" w:firstLineChars="200"/>
        <w:rPr>
          <w:rFonts w:ascii="楷体_GB2312" w:eastAsia="楷体_GB2312"/>
          <w:b/>
          <w:bCs/>
          <w:color w:val="auto"/>
          <w:szCs w:val="21"/>
          <w:highlight w:val="none"/>
        </w:rPr>
      </w:pPr>
      <w:r>
        <w:rPr>
          <w:rFonts w:hint="eastAsia" w:ascii="楷体_GB2312" w:eastAsia="楷体_GB2312"/>
          <w:b/>
          <w:bCs/>
          <w:color w:val="auto"/>
          <w:szCs w:val="21"/>
          <w:highlight w:val="none"/>
        </w:rPr>
        <w:t>（二）产品运作信息披露</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产品净值公告</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lang w:eastAsia="zh-CN"/>
        </w:rPr>
        <w:t>本产品自成立日起</w:t>
      </w:r>
      <w:r>
        <w:rPr>
          <w:rFonts w:hint="eastAsia" w:ascii="楷体_GB2312" w:eastAsia="楷体_GB2312"/>
          <w:color w:val="auto"/>
          <w:szCs w:val="21"/>
          <w:highlight w:val="none"/>
        </w:rPr>
        <w:t>，</w:t>
      </w:r>
      <w:r>
        <w:rPr>
          <w:rFonts w:hint="eastAsia" w:ascii="楷体_GB2312" w:eastAsia="楷体_GB2312"/>
          <w:color w:val="auto"/>
          <w:szCs w:val="21"/>
          <w:highlight w:val="none"/>
          <w:lang w:eastAsia="zh-CN"/>
        </w:rPr>
        <w:t>在开放期内每周通过</w:t>
      </w:r>
      <w:r>
        <w:rPr>
          <w:rFonts w:hint="eastAsia" w:ascii="楷体_GB2312" w:eastAsia="楷体_GB2312"/>
          <w:color w:val="auto"/>
          <w:szCs w:val="21"/>
          <w:highlight w:val="none"/>
        </w:rPr>
        <w:t>管理人官方网站披露清算确认日的产品单位净值</w:t>
      </w:r>
      <w:r>
        <w:rPr>
          <w:rFonts w:hint="eastAsia" w:ascii="楷体_GB2312" w:eastAsia="楷体_GB2312"/>
          <w:color w:val="auto"/>
          <w:szCs w:val="21"/>
          <w:highlight w:val="none"/>
          <w:lang w:eastAsia="zh-CN"/>
        </w:rPr>
        <w:t>，净值披露在</w:t>
      </w:r>
      <w:r>
        <w:rPr>
          <w:rFonts w:hint="eastAsia" w:ascii="楷体_GB2312" w:eastAsia="楷体_GB2312"/>
          <w:color w:val="auto"/>
          <w:szCs w:val="21"/>
          <w:highlight w:val="none"/>
        </w:rPr>
        <w:t>清算确认日</w:t>
      </w:r>
      <w:r>
        <w:rPr>
          <w:rFonts w:hint="eastAsia" w:ascii="楷体_GB2312" w:eastAsia="楷体_GB2312"/>
          <w:color w:val="auto"/>
          <w:szCs w:val="21"/>
          <w:highlight w:val="none"/>
          <w:lang w:eastAsia="zh-CN"/>
        </w:rPr>
        <w:t>后</w:t>
      </w:r>
      <w:r>
        <w:rPr>
          <w:rFonts w:hint="eastAsia" w:ascii="楷体_GB2312" w:eastAsia="楷体_GB2312"/>
          <w:color w:val="auto"/>
          <w:szCs w:val="21"/>
          <w:highlight w:val="none"/>
        </w:rPr>
        <w:t>两个工作日内</w:t>
      </w:r>
      <w:r>
        <w:rPr>
          <w:rFonts w:hint="eastAsia" w:ascii="楷体_GB2312" w:eastAsia="楷体_GB2312"/>
          <w:color w:val="auto"/>
          <w:szCs w:val="21"/>
          <w:highlight w:val="none"/>
          <w:lang w:eastAsia="zh-CN"/>
        </w:rPr>
        <w:t>完成。在封闭期内每月</w:t>
      </w:r>
      <w:r>
        <w:rPr>
          <w:rFonts w:hint="eastAsia" w:ascii="楷体_GB2312" w:eastAsia="楷体_GB2312"/>
          <w:color w:val="auto"/>
          <w:szCs w:val="21"/>
          <w:highlight w:val="none"/>
        </w:rPr>
        <w:t>通过管理人官方网站披露产品单位净值。</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存续期内，至少每月向投资者提供其所持有的理财产品账单，账单内容包括但不限于投资者持有的理财产品份额、认购金额、份额净值、份额累计净值、资产净值、收益情况、投资者理财交易账户发生的交易明细记录等信息。</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在每季度结束之日起十五个工作日内，上半年结束之日起六十个工作日内、每年结束之日起九十个工作日内编制完成产品季度、半年和年度报告等定期报告，并将报告正文通过产品管理人官方网站进行公布。</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定期报告须披露产品的存续规模、收益表现，并分别列示直接和间接投资的资产种类、投资比例、投资组合的流动性风险分析，以及前十项资产具体名称、规模和比例等信息以及产品在季度、半年和年度最后一个市场交易日的份额净值、份额累计净值和资产净值。</w:t>
      </w:r>
    </w:p>
    <w:p>
      <w:pPr>
        <w:snapToGrid w:val="0"/>
        <w:spacing w:line="360" w:lineRule="exact"/>
        <w:ind w:firstLine="422" w:firstLineChars="200"/>
        <w:rPr>
          <w:rFonts w:ascii="楷体_GB2312" w:eastAsia="楷体_GB2312"/>
          <w:color w:val="auto"/>
          <w:szCs w:val="21"/>
          <w:highlight w:val="none"/>
        </w:rPr>
      </w:pPr>
      <w:r>
        <w:rPr>
          <w:rFonts w:hint="eastAsia" w:ascii="楷体_GB2312" w:eastAsia="楷体_GB2312"/>
          <w:b/>
          <w:bCs/>
          <w:color w:val="auto"/>
          <w:szCs w:val="21"/>
          <w:highlight w:val="none"/>
        </w:rPr>
        <w:t>（三）重大事项公告及临时信息披露</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本产品在运作管理过程中，发生以下事项之一时，产品管理人将按照法律、法规及中国银保监会的有关规定及时报告并在产品管理人官方网站上公告。</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（1）终止产品；</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（2）转换产品运作方式；</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（3）更换产品管理人、产品托管人；</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（4）产品募集期延长；</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（5）涉及产品管理业务、产品资产、产品托管业务的重大诉讼；</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（6）产品管理人、产品托管人受到监管部门的调查；</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（7）产品收益分配事项；</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（8）产品管理费、产品托管费等费用计提标准、计提方式和费率发生变更；</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（9）产品单位净值计价错误达产品单位净值百分之零点五；</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（10）产品开始办理申购、赎回；</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（11）产品申购、赎回费率及其收费方式发生变更；</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（12）产品发生巨额赎回并延期支付；</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（13）产品连续发生巨额赎回并暂停接受赎回申请；</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（14）产品暂停接受申购、赎回申请后重新接受申购、赎回；</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（15）</w:t>
      </w:r>
      <w:r>
        <w:rPr>
          <w:rFonts w:hint="eastAsia" w:ascii="楷体_GB2312" w:eastAsia="楷体_GB2312"/>
          <w:color w:val="auto"/>
          <w:szCs w:val="21"/>
          <w:highlight w:val="none"/>
          <w:lang w:eastAsia="zh-CN"/>
        </w:rPr>
        <w:t>产品估值方法发生重大变化，或</w:t>
      </w:r>
      <w:r>
        <w:rPr>
          <w:rFonts w:hint="eastAsia" w:ascii="楷体_GB2312" w:eastAsia="楷体_GB2312"/>
          <w:color w:val="auto"/>
          <w:szCs w:val="21"/>
          <w:highlight w:val="none"/>
        </w:rPr>
        <w:t>产品暂停估值；</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（16）其它应披露的事项。</w:t>
      </w:r>
    </w:p>
    <w:p>
      <w:pPr>
        <w:snapToGrid w:val="0"/>
        <w:spacing w:line="360" w:lineRule="exact"/>
        <w:ind w:firstLine="422" w:firstLineChars="200"/>
        <w:rPr>
          <w:rFonts w:ascii="楷体_GB2312" w:eastAsia="楷体_GB2312"/>
          <w:b/>
          <w:bCs/>
          <w:color w:val="auto"/>
          <w:szCs w:val="21"/>
          <w:highlight w:val="none"/>
        </w:rPr>
      </w:pPr>
      <w:r>
        <w:rPr>
          <w:rFonts w:hint="eastAsia" w:ascii="楷体_GB2312" w:eastAsia="楷体_GB2312"/>
          <w:b/>
          <w:bCs/>
          <w:color w:val="auto"/>
          <w:szCs w:val="21"/>
          <w:highlight w:val="none"/>
        </w:rPr>
        <w:t>（四）到期公告</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本产品到期后，产品管理人将披露到期报告，包括产品的存续期限、终止日期、收费情况和收益分配情况等信息。</w:t>
      </w:r>
    </w:p>
    <w:p>
      <w:pPr>
        <w:snapToGrid w:val="0"/>
        <w:spacing w:line="360" w:lineRule="exact"/>
        <w:ind w:firstLine="422" w:firstLineChars="200"/>
        <w:rPr>
          <w:rFonts w:ascii="楷体_GB2312" w:eastAsia="楷体_GB2312"/>
          <w:b/>
          <w:bCs/>
          <w:color w:val="auto"/>
          <w:szCs w:val="21"/>
          <w:highlight w:val="none"/>
        </w:rPr>
      </w:pPr>
      <w:r>
        <w:rPr>
          <w:rFonts w:hint="eastAsia" w:ascii="楷体_GB2312" w:eastAsia="楷体_GB2312"/>
          <w:b/>
          <w:bCs/>
          <w:color w:val="auto"/>
          <w:szCs w:val="21"/>
          <w:highlight w:val="none"/>
        </w:rPr>
        <w:t>（五）信息披露文件</w:t>
      </w:r>
    </w:p>
    <w:p>
      <w:pPr>
        <w:snapToGrid w:val="0"/>
        <w:spacing w:beforeLines="0" w:afterLines="0" w:line="360" w:lineRule="exact"/>
        <w:ind w:firstLine="420" w:firstLineChars="200"/>
        <w:rPr>
          <w:rFonts w:hint="eastAsia" w:ascii="楷体_GB2312" w:eastAsia="楷体_GB2312"/>
          <w:color w:val="auto"/>
          <w:szCs w:val="21"/>
          <w:highlight w:val="none"/>
        </w:rPr>
      </w:pPr>
      <w:r>
        <w:rPr>
          <w:rFonts w:hint="eastAsia" w:ascii="楷体_GB2312" w:eastAsia="楷体_GB2312"/>
          <w:color w:val="auto"/>
          <w:szCs w:val="21"/>
          <w:highlight w:val="none"/>
        </w:rPr>
        <w:t>投资者可直接在产品管理人官方网站查阅相关的信息披露文件。</w:t>
      </w: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420" w:firstLineChars="200"/>
        <w:rPr>
          <w:rFonts w:hint="eastAsia" w:ascii="楷体_GB2312" w:eastAsia="楷体_GB2312"/>
          <w:color w:val="auto"/>
          <w:szCs w:val="21"/>
          <w:highlight w:val="none"/>
        </w:rPr>
      </w:pPr>
    </w:p>
    <w:p>
      <w:pPr>
        <w:snapToGrid w:val="0"/>
        <w:spacing w:beforeLines="0" w:afterLines="0" w:line="360" w:lineRule="exact"/>
        <w:ind w:firstLine="0" w:firstLineChars="0"/>
        <w:rPr>
          <w:rFonts w:hint="eastAsia" w:ascii="楷体_GB2312" w:eastAsia="楷体_GB2312"/>
          <w:color w:val="auto"/>
          <w:szCs w:val="21"/>
          <w:highlight w:val="none"/>
        </w:rPr>
      </w:pPr>
    </w:p>
    <w:p>
      <w:pPr>
        <w:snapToGrid w:val="0"/>
        <w:spacing w:beforeLines="0" w:afterLines="0" w:line="360" w:lineRule="exact"/>
        <w:ind w:firstLine="0" w:firstLineChars="0"/>
        <w:rPr>
          <w:rFonts w:hint="eastAsia" w:ascii="楷体_GB2312" w:eastAsia="楷体_GB2312"/>
          <w:color w:val="auto"/>
          <w:szCs w:val="21"/>
          <w:highlight w:val="none"/>
        </w:rPr>
      </w:pPr>
    </w:p>
    <w:p>
      <w:pPr>
        <w:tabs>
          <w:tab w:val="left" w:pos="4536"/>
        </w:tabs>
        <w:jc w:val="left"/>
        <w:rPr>
          <w:rFonts w:hint="eastAsia" w:ascii="楷体_GB2312" w:eastAsia="楷体_GB2312"/>
          <w:color w:val="auto"/>
          <w:szCs w:val="21"/>
          <w:highlight w:val="none"/>
          <w:lang w:val="en-US" w:eastAsia="zh-CN"/>
        </w:rPr>
      </w:pPr>
    </w:p>
    <w:p>
      <w:pPr>
        <w:tabs>
          <w:tab w:val="left" w:pos="4536"/>
        </w:tabs>
        <w:jc w:val="left"/>
        <w:rPr>
          <w:rFonts w:ascii="宋体" w:hAnsi="宋体"/>
          <w:b/>
          <w:sz w:val="18"/>
          <w:szCs w:val="18"/>
          <w:highlight w:val="none"/>
        </w:rPr>
      </w:pPr>
      <w:r>
        <w:rPr>
          <w:rFonts w:hint="eastAsia" w:ascii="宋体" w:hAnsi="宋体"/>
          <w:b/>
          <w:sz w:val="18"/>
          <w:szCs w:val="18"/>
          <w:highlight w:val="none"/>
        </w:rPr>
        <w:t>如有销售人员介入进行营销推介，则应停止自助终端购买操作，转至销售专区/柜内购买。本行严禁销售人员在自助终端等电子设备上代客操作购买产品。</w:t>
      </w:r>
    </w:p>
    <w:p>
      <w:pPr>
        <w:jc w:val="center"/>
        <w:rPr>
          <w:rFonts w:ascii="宋体" w:hAnsi="宋体"/>
          <w:b/>
          <w:bCs/>
          <w:spacing w:val="40"/>
          <w:sz w:val="28"/>
          <w:szCs w:val="28"/>
          <w:highlight w:val="none"/>
        </w:rPr>
      </w:pPr>
      <w:r>
        <w:rPr>
          <w:rFonts w:hint="eastAsia" w:ascii="宋体" w:hAnsi="宋体"/>
          <w:b/>
          <w:bCs/>
          <w:spacing w:val="40"/>
          <w:sz w:val="28"/>
          <w:szCs w:val="28"/>
          <w:highlight w:val="none"/>
        </w:rPr>
        <w:t>风险揭示书</w:t>
      </w:r>
    </w:p>
    <w:p>
      <w:pPr>
        <w:jc w:val="both"/>
        <w:rPr>
          <w:highlight w:val="none"/>
        </w:rPr>
      </w:pPr>
    </w:p>
    <w:p>
      <w:pPr>
        <w:pStyle w:val="7"/>
        <w:ind w:left="0" w:leftChars="0"/>
        <w:rPr>
          <w:rFonts w:ascii="宋体" w:hAnsi="宋体"/>
          <w:sz w:val="18"/>
          <w:szCs w:val="18"/>
          <w:highlight w:val="none"/>
        </w:rPr>
      </w:pPr>
      <w:r>
        <w:rPr>
          <w:rFonts w:hint="eastAsia" w:ascii="宋体" w:hAnsi="宋体"/>
          <w:b/>
          <w:bCs/>
          <w:sz w:val="18"/>
          <w:szCs w:val="18"/>
          <w:highlight w:val="none"/>
        </w:rPr>
        <w:t xml:space="preserve"> 本产品为非保本净值型理财产品，不保证本金和收益，本产品任何业绩比较基准、测算收益或类似表述均属不具有法律约束力的用语，不代表投资者可能获得的实际收益，亦不构成常熟农商银行对本产品的任何收益承诺。请您充分认识投资风险，谨慎投资。</w:t>
      </w:r>
    </w:p>
    <w:p>
      <w:pPr>
        <w:pStyle w:val="7"/>
        <w:ind w:left="0" w:leftChars="0"/>
        <w:rPr>
          <w:rFonts w:ascii="宋体" w:hAnsi="宋体"/>
          <w:sz w:val="18"/>
          <w:szCs w:val="18"/>
          <w:highlight w:val="none"/>
        </w:rPr>
      </w:pPr>
      <w:r>
        <w:rPr>
          <w:rFonts w:hint="eastAsia" w:ascii="宋体" w:hAnsi="宋体"/>
          <w:sz w:val="18"/>
          <w:szCs w:val="18"/>
          <w:highlight w:val="none"/>
        </w:rPr>
        <w:t xml:space="preserve">  投资者投资本理财产品可能存在但不限于以下风险：</w:t>
      </w:r>
    </w:p>
    <w:p>
      <w:pPr>
        <w:pStyle w:val="7"/>
        <w:numPr>
          <w:ilvl w:val="0"/>
          <w:numId w:val="2"/>
        </w:numPr>
        <w:spacing w:after="0"/>
        <w:ind w:leftChars="0"/>
        <w:jc w:val="left"/>
        <w:rPr>
          <w:rFonts w:ascii="宋体" w:hAnsi="宋体"/>
          <w:sz w:val="18"/>
          <w:szCs w:val="18"/>
          <w:highlight w:val="none"/>
        </w:rPr>
      </w:pPr>
      <w:r>
        <w:rPr>
          <w:rFonts w:hint="eastAsia" w:ascii="宋体" w:hAnsi="宋体"/>
          <w:sz w:val="18"/>
          <w:szCs w:val="18"/>
          <w:highlight w:val="none"/>
        </w:rPr>
        <w:t>市场风险：指国际国内金融市场受到各种因素影响，导致本产品投资资产价格变化，从而导致本产品收益减少，甚至本金损失。市场风险主要包括政策风险、经济周期风险、利率风险等。</w:t>
      </w:r>
    </w:p>
    <w:p>
      <w:pPr>
        <w:pStyle w:val="7"/>
        <w:numPr>
          <w:ilvl w:val="0"/>
          <w:numId w:val="2"/>
        </w:numPr>
        <w:spacing w:after="0"/>
        <w:ind w:leftChars="0"/>
        <w:jc w:val="left"/>
        <w:rPr>
          <w:rFonts w:ascii="宋体" w:hAnsi="宋体"/>
          <w:sz w:val="18"/>
          <w:szCs w:val="18"/>
          <w:highlight w:val="none"/>
        </w:rPr>
      </w:pPr>
      <w:r>
        <w:rPr>
          <w:rFonts w:hint="eastAsia" w:ascii="宋体" w:hAnsi="宋体"/>
          <w:sz w:val="18"/>
          <w:szCs w:val="18"/>
          <w:highlight w:val="none"/>
        </w:rPr>
        <w:t>信用风险：指本产品投资资产发行人、交易对手发生违约，不向本产品偿付本金和收益，导致产品本金及收益减少甚至损失。</w:t>
      </w:r>
    </w:p>
    <w:p>
      <w:pPr>
        <w:pStyle w:val="7"/>
        <w:numPr>
          <w:ilvl w:val="0"/>
          <w:numId w:val="2"/>
        </w:numPr>
        <w:spacing w:after="0"/>
        <w:ind w:leftChars="0"/>
        <w:jc w:val="left"/>
        <w:rPr>
          <w:rFonts w:ascii="宋体" w:hAnsi="宋体"/>
          <w:sz w:val="18"/>
          <w:szCs w:val="18"/>
          <w:highlight w:val="none"/>
        </w:rPr>
      </w:pPr>
      <w:r>
        <w:rPr>
          <w:rFonts w:hint="eastAsia" w:ascii="宋体" w:hAnsi="宋体"/>
          <w:b/>
          <w:bCs/>
          <w:sz w:val="18"/>
          <w:szCs w:val="18"/>
          <w:highlight w:val="none"/>
        </w:rPr>
        <w:t>流动性风险</w:t>
      </w:r>
      <w:r>
        <w:rPr>
          <w:rFonts w:hint="eastAsia" w:ascii="宋体" w:hAnsi="宋体"/>
          <w:sz w:val="18"/>
          <w:szCs w:val="18"/>
          <w:highlight w:val="none"/>
        </w:rPr>
        <w:t>：</w:t>
      </w:r>
      <w:r>
        <w:rPr>
          <w:rFonts w:hint="eastAsia" w:ascii="宋体" w:hAnsi="宋体"/>
          <w:b/>
          <w:bCs/>
          <w:sz w:val="18"/>
          <w:szCs w:val="18"/>
          <w:highlight w:val="none"/>
        </w:rPr>
        <w:t>指在本产品存续期内，投资者只能在本产品说明书约定的赎回期内办理赎回；约定赎回期外，投资者无法进行理财产品的份额赎回。出现巨额赎回时，常熟农商银行有权拒绝超额部分的赎回申请，由此可能影响投资者的资金流动性安排，带来流动性风险。</w:t>
      </w:r>
    </w:p>
    <w:p>
      <w:pPr>
        <w:pStyle w:val="7"/>
        <w:numPr>
          <w:ilvl w:val="0"/>
          <w:numId w:val="2"/>
        </w:numPr>
        <w:spacing w:after="0"/>
        <w:ind w:leftChars="0"/>
        <w:jc w:val="left"/>
        <w:rPr>
          <w:rFonts w:ascii="宋体" w:hAnsi="宋体"/>
          <w:sz w:val="18"/>
          <w:szCs w:val="18"/>
          <w:highlight w:val="none"/>
        </w:rPr>
      </w:pPr>
      <w:r>
        <w:rPr>
          <w:rFonts w:hint="eastAsia" w:ascii="宋体" w:hAnsi="宋体"/>
          <w:sz w:val="18"/>
          <w:szCs w:val="18"/>
          <w:highlight w:val="none"/>
        </w:rPr>
        <w:t>管理风险：在本理财产品运作过程中，可能因产品管理人、相关合作机构对经济形势和金融市场走势等判断有误、获取的信息不全、或对于投资工具使用不当等影响产品本金及收益水平。</w:t>
      </w:r>
    </w:p>
    <w:p>
      <w:pPr>
        <w:pStyle w:val="7"/>
        <w:numPr>
          <w:ilvl w:val="0"/>
          <w:numId w:val="2"/>
        </w:numPr>
        <w:spacing w:after="0"/>
        <w:ind w:leftChars="0"/>
        <w:jc w:val="left"/>
        <w:rPr>
          <w:rFonts w:ascii="宋体" w:hAnsi="宋体"/>
          <w:sz w:val="18"/>
          <w:szCs w:val="18"/>
          <w:highlight w:val="none"/>
        </w:rPr>
      </w:pPr>
      <w:r>
        <w:rPr>
          <w:rFonts w:hint="eastAsia" w:ascii="宋体" w:hAnsi="宋体"/>
          <w:sz w:val="18"/>
          <w:szCs w:val="18"/>
          <w:highlight w:val="none"/>
        </w:rPr>
        <w:t>政策风险：本理财产品存续期内可能会遇到国家金融政策重大调整，影响产品本金及收益水平。</w:t>
      </w:r>
    </w:p>
    <w:p>
      <w:pPr>
        <w:numPr>
          <w:ilvl w:val="0"/>
          <w:numId w:val="2"/>
        </w:numPr>
        <w:rPr>
          <w:rFonts w:ascii="宋体" w:hAnsi="宋体"/>
          <w:b/>
          <w:bCs/>
          <w:sz w:val="18"/>
          <w:szCs w:val="18"/>
          <w:highlight w:val="none"/>
        </w:rPr>
      </w:pPr>
      <w:r>
        <w:rPr>
          <w:rFonts w:hint="eastAsia" w:ascii="宋体" w:hAnsi="宋体"/>
          <w:b/>
          <w:bCs/>
          <w:sz w:val="18"/>
          <w:szCs w:val="18"/>
          <w:highlight w:val="none"/>
        </w:rPr>
        <w:t>信息传递风险：常熟农商银行将按照产品说明书、投资者权益须知中有关“信息披露”的约定，进行本理财产品的信息披露。投资者应根据“信息披露”的约定及时进行查询。如果投资者未及时查询，或由于通讯故障、系统故障以及其他不可抗力等因素的影响使得投资者无法及时了解产品信息，可能会影响投资者的投资决策。另外，投资者预留在常熟农商银行的有效联系方式变更的，应及时通知常熟农商银行。如投资者未及时告知常熟农商银行联系方式变更的，常熟农商银行将可能在需要联系投资者时无法及时联系上，并可能会由此影响投资者的投资决策。</w:t>
      </w:r>
    </w:p>
    <w:p>
      <w:pPr>
        <w:numPr>
          <w:ilvl w:val="0"/>
          <w:numId w:val="2"/>
        </w:numPr>
        <w:rPr>
          <w:rFonts w:ascii="宋体" w:hAnsi="宋体"/>
          <w:sz w:val="18"/>
          <w:szCs w:val="18"/>
          <w:highlight w:val="none"/>
        </w:rPr>
      </w:pPr>
      <w:r>
        <w:rPr>
          <w:rFonts w:hint="eastAsia" w:ascii="宋体" w:hAnsi="宋体"/>
          <w:sz w:val="18"/>
          <w:szCs w:val="18"/>
          <w:highlight w:val="none"/>
        </w:rPr>
        <w:t>产品不成立风险：如产品募集期届满，募集总金额未达到规模下限（如有约定）或市场发生剧烈波动，经常熟农商银行合理判断难以按照本说明书规定向投资者提供本产品，常熟农商银行可能决定产品不成立。</w:t>
      </w:r>
    </w:p>
    <w:p>
      <w:pPr>
        <w:numPr>
          <w:ilvl w:val="0"/>
          <w:numId w:val="2"/>
        </w:numPr>
        <w:rPr>
          <w:rFonts w:ascii="宋体" w:hAnsi="宋体"/>
          <w:sz w:val="18"/>
          <w:szCs w:val="18"/>
          <w:highlight w:val="none"/>
        </w:rPr>
      </w:pPr>
      <w:r>
        <w:rPr>
          <w:rFonts w:hint="eastAsia" w:ascii="宋体" w:hAnsi="宋体"/>
          <w:sz w:val="18"/>
          <w:szCs w:val="18"/>
          <w:highlight w:val="none"/>
        </w:rPr>
        <w:t>未知价赎回风险：本产品采用“金额认/申购、份额赎回”原则，即产品认/申购以金额申请，赎回以份额申请，申请与赎回价格以“未知价原则”受理申请，即以赎回日上一日单位净值进行计算。</w:t>
      </w:r>
    </w:p>
    <w:p>
      <w:pPr>
        <w:numPr>
          <w:ilvl w:val="0"/>
          <w:numId w:val="2"/>
        </w:numPr>
        <w:rPr>
          <w:rFonts w:ascii="宋体" w:hAnsi="宋体"/>
          <w:sz w:val="18"/>
          <w:szCs w:val="18"/>
          <w:highlight w:val="none"/>
        </w:rPr>
      </w:pPr>
      <w:r>
        <w:rPr>
          <w:rFonts w:hint="eastAsia" w:ascii="宋体" w:hAnsi="宋体"/>
          <w:sz w:val="18"/>
          <w:szCs w:val="18"/>
          <w:highlight w:val="none"/>
        </w:rPr>
        <w:t>兑付延期风险：如本理财产品项下对应的投资标的变现不及时等原因造成本理财产品不能按时支付赎回金额，则投资者面临产品期限延期、调整等风险。</w:t>
      </w:r>
    </w:p>
    <w:p>
      <w:pPr>
        <w:numPr>
          <w:ilvl w:val="0"/>
          <w:numId w:val="2"/>
        </w:numPr>
        <w:rPr>
          <w:rFonts w:ascii="宋体" w:hAnsi="宋体"/>
          <w:sz w:val="18"/>
          <w:szCs w:val="18"/>
          <w:highlight w:val="none"/>
        </w:rPr>
      </w:pPr>
      <w:r>
        <w:rPr>
          <w:rFonts w:hint="eastAsia" w:ascii="宋体" w:hAnsi="宋体"/>
          <w:sz w:val="18"/>
          <w:szCs w:val="18"/>
          <w:highlight w:val="none"/>
        </w:rPr>
        <w:t>税收风险：常熟农商银行暂不负责代扣代缴投资者购买本产品所得收益应缴纳的各项税款。若相关税法法规规定产品管理人应代扣代缴相关税款，常熟农商银行有权依法履行代扣代缴义务，则投资者面临其取得的收益扣减相应税费的风险。此外，税收法规的执行及修订可能对本产品投资运作等过程中需缴纳的相关税费产生影响，可能影响投资者收益，甚至造成产品本金损失的风险。</w:t>
      </w:r>
    </w:p>
    <w:p>
      <w:pPr>
        <w:numPr>
          <w:ilvl w:val="0"/>
          <w:numId w:val="2"/>
        </w:numPr>
        <w:rPr>
          <w:rFonts w:ascii="宋体" w:hAnsi="宋体"/>
          <w:b/>
          <w:bCs/>
          <w:sz w:val="18"/>
          <w:szCs w:val="18"/>
          <w:highlight w:val="none"/>
        </w:rPr>
      </w:pPr>
      <w:r>
        <w:rPr>
          <w:rFonts w:hint="eastAsia" w:ascii="宋体" w:hAnsi="宋体"/>
          <w:b/>
          <w:bCs/>
          <w:sz w:val="18"/>
          <w:szCs w:val="18"/>
          <w:highlight w:val="none"/>
        </w:rPr>
        <w:t>特定投资标的风险：</w:t>
      </w:r>
    </w:p>
    <w:p>
      <w:pPr>
        <w:ind w:firstLine="361" w:firstLineChars="200"/>
        <w:rPr>
          <w:rFonts w:ascii="宋体" w:hAnsi="宋体"/>
          <w:b/>
          <w:bCs/>
          <w:sz w:val="18"/>
          <w:szCs w:val="18"/>
          <w:highlight w:val="none"/>
        </w:rPr>
      </w:pPr>
      <w:r>
        <w:rPr>
          <w:rFonts w:hint="eastAsia" w:ascii="宋体" w:hAnsi="宋体"/>
          <w:b/>
          <w:bCs/>
          <w:sz w:val="18"/>
          <w:szCs w:val="18"/>
          <w:highlight w:val="none"/>
        </w:rPr>
        <w:t>（1）投资于债券的特殊风险</w:t>
      </w:r>
    </w:p>
    <w:p>
      <w:pPr>
        <w:ind w:firstLine="360" w:firstLineChars="200"/>
        <w:rPr>
          <w:rFonts w:ascii="宋体" w:hAnsi="宋体"/>
          <w:sz w:val="18"/>
          <w:szCs w:val="18"/>
          <w:highlight w:val="none"/>
        </w:rPr>
      </w:pPr>
      <w:r>
        <w:rPr>
          <w:rFonts w:hint="eastAsia" w:ascii="宋体" w:hAnsi="宋体"/>
          <w:sz w:val="18"/>
          <w:szCs w:val="18"/>
          <w:highlight w:val="none"/>
        </w:rPr>
        <w:t>A、市场平均利率水平变化导致债券价格变化的风险；</w:t>
      </w:r>
    </w:p>
    <w:p>
      <w:pPr>
        <w:ind w:firstLine="360" w:firstLineChars="200"/>
        <w:rPr>
          <w:rFonts w:ascii="宋体" w:hAnsi="宋体"/>
          <w:sz w:val="18"/>
          <w:szCs w:val="18"/>
          <w:highlight w:val="none"/>
        </w:rPr>
      </w:pPr>
      <w:r>
        <w:rPr>
          <w:rFonts w:hint="eastAsia" w:ascii="宋体" w:hAnsi="宋体"/>
          <w:sz w:val="18"/>
          <w:szCs w:val="18"/>
          <w:highlight w:val="none"/>
        </w:rPr>
        <w:t>B、债券市场不同期限、不同类属债券之间的利差变动导致相应期限和类属债券价格变化的风险；</w:t>
      </w:r>
    </w:p>
    <w:p>
      <w:pPr>
        <w:ind w:firstLine="360" w:firstLineChars="200"/>
        <w:rPr>
          <w:rFonts w:ascii="宋体" w:hAnsi="宋体"/>
          <w:sz w:val="18"/>
          <w:szCs w:val="18"/>
          <w:highlight w:val="none"/>
        </w:rPr>
      </w:pPr>
      <w:r>
        <w:rPr>
          <w:rFonts w:hint="eastAsia" w:ascii="宋体" w:hAnsi="宋体"/>
          <w:sz w:val="18"/>
          <w:szCs w:val="18"/>
          <w:highlight w:val="none"/>
        </w:rPr>
        <w:t>C、债券的发行人的经营状况受到多种因素影响，如管理能力、财务状况、市场前景、行业竞争能力、技术更新、研究开发、人员素质等，都会导致发行人盈利发生变化，可能导致债券市场价格下跌或无法按时偿付本息，从而影响理财产品收益水平；</w:t>
      </w:r>
    </w:p>
    <w:p>
      <w:pPr>
        <w:ind w:firstLine="360" w:firstLineChars="200"/>
        <w:rPr>
          <w:rFonts w:ascii="宋体" w:hAnsi="宋体"/>
          <w:sz w:val="18"/>
          <w:szCs w:val="18"/>
          <w:highlight w:val="none"/>
        </w:rPr>
      </w:pPr>
      <w:r>
        <w:rPr>
          <w:rFonts w:hint="eastAsia" w:ascii="宋体" w:hAnsi="宋体"/>
          <w:sz w:val="18"/>
          <w:szCs w:val="18"/>
          <w:highlight w:val="none"/>
        </w:rPr>
        <w:t>D、债券发行人、担保人出现违约、拒绝支付到期本息，或由于债券发行人、担保人信用质量降低导致债券价格下降及无法收回投资收益的风险；</w:t>
      </w:r>
    </w:p>
    <w:p>
      <w:pPr>
        <w:ind w:firstLine="360" w:firstLineChars="200"/>
        <w:rPr>
          <w:rFonts w:ascii="宋体" w:hAnsi="宋体"/>
          <w:sz w:val="18"/>
          <w:szCs w:val="18"/>
          <w:highlight w:val="none"/>
        </w:rPr>
      </w:pPr>
      <w:r>
        <w:rPr>
          <w:rFonts w:hint="eastAsia" w:ascii="宋体" w:hAnsi="宋体"/>
          <w:sz w:val="18"/>
          <w:szCs w:val="18"/>
          <w:highlight w:val="none"/>
        </w:rPr>
        <w:t>E、与信用等级较高的债券相比，投资于信用等级较低的债券将因为发行主体的偿还债务能力略低、受不利经济环境的影响更大以及违约风险更高等原因而面临更大的投资风险；</w:t>
      </w:r>
    </w:p>
    <w:p>
      <w:pPr>
        <w:ind w:firstLine="360" w:firstLineChars="200"/>
        <w:rPr>
          <w:rFonts w:ascii="宋体" w:hAnsi="宋体"/>
          <w:sz w:val="18"/>
          <w:szCs w:val="18"/>
          <w:highlight w:val="none"/>
        </w:rPr>
      </w:pPr>
      <w:r>
        <w:rPr>
          <w:rFonts w:hint="eastAsia" w:ascii="宋体" w:hAnsi="宋体"/>
          <w:sz w:val="18"/>
          <w:szCs w:val="18"/>
          <w:highlight w:val="none"/>
        </w:rPr>
        <w:t>F、中小企业债券的发行主体为中小微企业，企业规模通常较小，且其成长和发展主要依赖自身的地缘优势，基本不具备跨地域经营所产生的规模优势和支撑，难以抵御宏观经济和产业经济波动所带来的风险冲击；并且，中小企业私募债为非公开发行，并实行合格投资者制度，使其流动性受到限制。因此，投资于中小企业私募债将面临较大的投资风险；</w:t>
      </w:r>
    </w:p>
    <w:p>
      <w:pPr>
        <w:ind w:firstLine="360" w:firstLineChars="200"/>
        <w:rPr>
          <w:rFonts w:ascii="宋体" w:hAnsi="宋体"/>
          <w:sz w:val="18"/>
          <w:szCs w:val="18"/>
          <w:highlight w:val="none"/>
        </w:rPr>
      </w:pPr>
      <w:r>
        <w:rPr>
          <w:rFonts w:hint="eastAsia" w:ascii="宋体" w:hAnsi="宋体"/>
          <w:sz w:val="18"/>
          <w:szCs w:val="18"/>
          <w:highlight w:val="none"/>
        </w:rPr>
        <w:t>G、相对于其他公开发行的债券，非公开定向债务融资工具、非公开发行公司债的流动性较差，其流通和转让均存在一定的限制，因此投资于非公开定向债务融资工具将面临较大的投资风险；</w:t>
      </w:r>
    </w:p>
    <w:p>
      <w:pPr>
        <w:ind w:firstLine="360" w:firstLineChars="200"/>
        <w:rPr>
          <w:rFonts w:ascii="宋体" w:hAnsi="宋体"/>
          <w:sz w:val="18"/>
          <w:szCs w:val="18"/>
          <w:highlight w:val="none"/>
        </w:rPr>
      </w:pPr>
      <w:r>
        <w:rPr>
          <w:rFonts w:hint="eastAsia" w:ascii="宋体" w:hAnsi="宋体"/>
          <w:sz w:val="18"/>
          <w:szCs w:val="18"/>
          <w:highlight w:val="none"/>
        </w:rPr>
        <w:t>H、债券回购风险：债券投资可能会运用正回购来增加组合杠杆，较高的债券正回购比例可能增加组合的利率风险。</w:t>
      </w:r>
    </w:p>
    <w:p>
      <w:pPr>
        <w:ind w:firstLine="361" w:firstLineChars="200"/>
        <w:rPr>
          <w:rFonts w:ascii="宋体" w:hAnsi="宋体"/>
          <w:b/>
          <w:bCs/>
          <w:sz w:val="18"/>
          <w:szCs w:val="18"/>
          <w:highlight w:val="none"/>
        </w:rPr>
      </w:pPr>
      <w:r>
        <w:rPr>
          <w:rFonts w:hint="eastAsia" w:ascii="宋体" w:hAnsi="宋体"/>
          <w:b/>
          <w:bCs/>
          <w:sz w:val="18"/>
          <w:szCs w:val="18"/>
          <w:highlight w:val="none"/>
        </w:rPr>
        <w:t>（2）投资于资产支持证券的特殊风险</w:t>
      </w:r>
    </w:p>
    <w:p>
      <w:pPr>
        <w:ind w:firstLine="360" w:firstLineChars="200"/>
        <w:rPr>
          <w:rFonts w:ascii="宋体" w:hAnsi="宋体"/>
          <w:b/>
          <w:bCs/>
          <w:sz w:val="18"/>
          <w:szCs w:val="18"/>
          <w:highlight w:val="none"/>
        </w:rPr>
      </w:pPr>
      <w:r>
        <w:rPr>
          <w:rFonts w:hint="eastAsia" w:ascii="宋体" w:hAnsi="宋体"/>
          <w:sz w:val="18"/>
          <w:szCs w:val="18"/>
          <w:highlight w:val="none"/>
        </w:rPr>
        <w:t>资产支持证券的投资收益取决于资产支持证券项下的基础资产情况，如该基础资产发生原始权益人破产或基础资产项下现金流未能及时完整取得等情况，资产支持证券的收益将受到影响，且资产支持证券的流动性较低，由此本计划财产可能遭受损失，理财产品投资者可能无法如期获得投资收益。</w:t>
      </w:r>
    </w:p>
    <w:p>
      <w:pPr>
        <w:ind w:firstLine="361" w:firstLineChars="200"/>
        <w:rPr>
          <w:rFonts w:ascii="宋体" w:hAnsi="宋体"/>
          <w:b/>
          <w:bCs/>
          <w:sz w:val="18"/>
          <w:szCs w:val="18"/>
          <w:highlight w:val="none"/>
        </w:rPr>
      </w:pPr>
      <w:r>
        <w:rPr>
          <w:rFonts w:hint="eastAsia" w:ascii="宋体" w:hAnsi="宋体"/>
          <w:b/>
          <w:bCs/>
          <w:sz w:val="18"/>
          <w:szCs w:val="18"/>
          <w:highlight w:val="none"/>
        </w:rPr>
        <w:t>（3）投资于衍生金融工具的特殊风险</w:t>
      </w:r>
    </w:p>
    <w:p>
      <w:pPr>
        <w:ind w:firstLine="360" w:firstLineChars="200"/>
        <w:rPr>
          <w:rFonts w:ascii="宋体" w:hAnsi="宋体"/>
          <w:sz w:val="18"/>
          <w:szCs w:val="18"/>
          <w:highlight w:val="none"/>
        </w:rPr>
      </w:pPr>
      <w:r>
        <w:rPr>
          <w:rFonts w:hint="eastAsia" w:ascii="宋体" w:hAnsi="宋体"/>
          <w:sz w:val="18"/>
          <w:szCs w:val="18"/>
          <w:highlight w:val="none"/>
        </w:rPr>
        <w:t>理财产品的投资范围如包括衍生金融工具（包括但不限于国债期货、利率互换等衍生金融工具），衍生金融工具的投资可能面临市场风险、基差风险、流动性风险。市场风险是因衍生金融工具市场价格波动使所持有的衍生品合约价值发生变化的风险。基差风险是期货市场的特有风险之一，是指由于期货与现货间的价差的波动，影响套期保值或套利效果，使之发生意外损益的风险。流动性风险可分为两类：一类为流通量风险，是指衍生品合约无法及时以所希望的价格建立或了结头寸的风险，此类风险往往是由市场缺乏广度或深度导致的；另一类为资金量风险，是指资金量无法满足保证金要求，使得所持有的头寸面临被强制平仓的风险。由此本理财产品财产可能遭受损失，理财产品投资者可能无法如期获得投资收益。</w:t>
      </w:r>
    </w:p>
    <w:p>
      <w:pPr>
        <w:ind w:firstLine="361" w:firstLineChars="200"/>
        <w:rPr>
          <w:rFonts w:ascii="宋体" w:hAnsi="宋体"/>
          <w:b/>
          <w:bCs/>
          <w:sz w:val="18"/>
          <w:szCs w:val="18"/>
          <w:highlight w:val="none"/>
        </w:rPr>
      </w:pPr>
      <w:r>
        <w:rPr>
          <w:rFonts w:hint="eastAsia" w:ascii="宋体" w:hAnsi="宋体"/>
          <w:b/>
          <w:bCs/>
          <w:sz w:val="18"/>
          <w:szCs w:val="18"/>
          <w:highlight w:val="none"/>
        </w:rPr>
        <w:t>（4）如本产品进行债权投资的，则本产品可能面临如下风险：</w:t>
      </w:r>
    </w:p>
    <w:p>
      <w:pPr>
        <w:ind w:firstLine="360" w:firstLineChars="200"/>
        <w:rPr>
          <w:rFonts w:ascii="宋体" w:hAnsi="宋体"/>
          <w:sz w:val="18"/>
          <w:szCs w:val="18"/>
          <w:highlight w:val="none"/>
        </w:rPr>
      </w:pPr>
      <w:r>
        <w:rPr>
          <w:rFonts w:hint="eastAsia" w:ascii="宋体" w:hAnsi="宋体"/>
          <w:sz w:val="18"/>
          <w:szCs w:val="18"/>
          <w:highlight w:val="none"/>
        </w:rPr>
        <w:t>A、融资方的信用风险：由于还款履约能力发生变化，融资方在相关债权到期后，未能偿还或逾期偿还相关融资本息所导致本产品财产损失的风险；</w:t>
      </w:r>
    </w:p>
    <w:p>
      <w:pPr>
        <w:ind w:firstLine="360" w:firstLineChars="200"/>
        <w:rPr>
          <w:rFonts w:ascii="宋体" w:hAnsi="宋体"/>
          <w:sz w:val="18"/>
          <w:szCs w:val="18"/>
          <w:highlight w:val="none"/>
        </w:rPr>
      </w:pPr>
      <w:r>
        <w:rPr>
          <w:rFonts w:hint="eastAsia" w:ascii="宋体" w:hAnsi="宋体"/>
          <w:sz w:val="18"/>
          <w:szCs w:val="18"/>
          <w:highlight w:val="none"/>
        </w:rPr>
        <w:t>B、债务人提前还款或逾期还款的风险：本产品可能因债务人按照相关融资合同的约定申请提前偿还款/支付相关款项或者债务人发生融资合同约定的违约情形，导致相关融资款被宣布提前到期的，本理财产品的投资者可能面临无法实现投资收益或遭受损失的风险；</w:t>
      </w:r>
    </w:p>
    <w:p>
      <w:pPr>
        <w:ind w:firstLine="360" w:firstLineChars="200"/>
        <w:rPr>
          <w:rFonts w:ascii="宋体" w:hAnsi="宋体"/>
          <w:sz w:val="18"/>
          <w:szCs w:val="18"/>
          <w:highlight w:val="none"/>
        </w:rPr>
      </w:pPr>
      <w:r>
        <w:rPr>
          <w:rFonts w:hint="eastAsia" w:ascii="宋体" w:hAnsi="宋体"/>
          <w:sz w:val="18"/>
          <w:szCs w:val="18"/>
          <w:highlight w:val="none"/>
        </w:rPr>
        <w:t>C、如本理财产品项下存在资金监管安排的，如资金监管银行因任何原因未能按约定履行监管职责，或丧失进行监管的能力或法定资格，或第三方对监管账户及账户内资金主张任何优先权利，或由于政府机构、法院执行的原因导致监管账户及账户内资金被冻结，均可能给本理财产品带来风险；</w:t>
      </w:r>
    </w:p>
    <w:p>
      <w:pPr>
        <w:ind w:firstLine="360" w:firstLineChars="200"/>
        <w:rPr>
          <w:rFonts w:ascii="宋体" w:hAnsi="宋体"/>
          <w:sz w:val="18"/>
          <w:szCs w:val="18"/>
          <w:highlight w:val="none"/>
        </w:rPr>
      </w:pPr>
      <w:r>
        <w:rPr>
          <w:rFonts w:hint="eastAsia" w:ascii="宋体" w:hAnsi="宋体"/>
          <w:sz w:val="18"/>
          <w:szCs w:val="18"/>
          <w:highlight w:val="none"/>
        </w:rPr>
        <w:t>D、如本理财产品财产管理运用中存在抵/质押担保安排的，若由于政府机构登记系统原因导致抵/质押登记手续无法办理或存在瑕疵，或由于市场原因、抵/质押人经营原因或政府机构、法院执行的原因导致抵/质押财产价值下降或被冻结，或抵/质押人发生没有及时办理抵/质押登记手续等违反约定的情况使得抵/质押财产受到重大不利影响，或者抵/质押财产在变现时存在无法变现、变现存在困难或变现金额大大低于抵/质押财产价值等风险，则可能给本理财产品带来风险；</w:t>
      </w:r>
    </w:p>
    <w:p>
      <w:pPr>
        <w:ind w:firstLine="360" w:firstLineChars="200"/>
        <w:rPr>
          <w:rFonts w:ascii="宋体" w:hAnsi="宋体"/>
          <w:sz w:val="18"/>
          <w:szCs w:val="18"/>
          <w:highlight w:val="none"/>
        </w:rPr>
      </w:pPr>
      <w:r>
        <w:rPr>
          <w:rFonts w:hint="eastAsia" w:ascii="宋体" w:hAnsi="宋体"/>
          <w:sz w:val="18"/>
          <w:szCs w:val="18"/>
          <w:highlight w:val="none"/>
        </w:rPr>
        <w:t>E、如本理财产品财产管理运用中存在保证担保安排的，若由于保证人因任何原因未履行保证义务的，则可能给本理财产品带来风险。</w:t>
      </w:r>
    </w:p>
    <w:p>
      <w:pPr>
        <w:ind w:firstLine="361" w:firstLineChars="200"/>
        <w:rPr>
          <w:rFonts w:ascii="宋体" w:hAnsi="宋体"/>
          <w:b/>
          <w:bCs/>
          <w:sz w:val="18"/>
          <w:szCs w:val="18"/>
          <w:highlight w:val="none"/>
        </w:rPr>
      </w:pPr>
      <w:r>
        <w:rPr>
          <w:rFonts w:hint="eastAsia" w:ascii="宋体" w:hAnsi="宋体"/>
          <w:b/>
          <w:bCs/>
          <w:sz w:val="18"/>
          <w:szCs w:val="18"/>
          <w:highlight w:val="none"/>
        </w:rPr>
        <w:t>（5）投资于相关信托受益权、资产管理计划的计划份额时，可能面临的受托人/资产管理人风险</w:t>
      </w:r>
    </w:p>
    <w:p>
      <w:pPr>
        <w:ind w:firstLine="360" w:firstLineChars="200"/>
        <w:rPr>
          <w:rFonts w:ascii="宋体" w:hAnsi="宋体"/>
          <w:sz w:val="18"/>
          <w:szCs w:val="18"/>
          <w:highlight w:val="none"/>
        </w:rPr>
      </w:pPr>
      <w:r>
        <w:rPr>
          <w:rFonts w:hint="eastAsia" w:ascii="宋体" w:hAnsi="宋体"/>
          <w:sz w:val="18"/>
          <w:szCs w:val="18"/>
          <w:highlight w:val="none"/>
        </w:rPr>
        <w:t>如本理财产品投资于信托受益权、基金管理公司（含其子公司）/证券公司（含其子公司）作为资产管理人管理的资产管理计划时，可能因相关受托人、资产管理人违法违规、未尽受托人/管理人职责或发生其他情形，造成本理财产品所投资的信托产品/资管计划产品的财产损失，进而引起本理财产品的损失。信托产品/资管计划产品可能出现因为某种原因而被提前终止的情况，由此可能会造成对本理财产品投资收益的影响。因本理财产品的管理人无法对所投资的信托产品/资管计划产品进行投资决策，或相关受托人/资产管理人可能不执行或不能及时、准确地执行本理财产品管理人的指令，或未经本理财产品同意将本理财产品交付的资金运用于违反相关信托合同或资产管理合同约定的投资范围，导致本产品项下委托财产的损失等风险。</w:t>
      </w:r>
    </w:p>
    <w:p>
      <w:pPr>
        <w:numPr>
          <w:ilvl w:val="0"/>
          <w:numId w:val="2"/>
        </w:numPr>
        <w:rPr>
          <w:rFonts w:ascii="宋体" w:hAnsi="宋体"/>
          <w:b/>
          <w:sz w:val="18"/>
          <w:szCs w:val="18"/>
          <w:highlight w:val="none"/>
        </w:rPr>
      </w:pPr>
      <w:r>
        <w:rPr>
          <w:rFonts w:hint="eastAsia" w:ascii="宋体" w:hAnsi="宋体"/>
          <w:sz w:val="18"/>
          <w:szCs w:val="18"/>
          <w:highlight w:val="none"/>
        </w:rPr>
        <w:t>其它风险：指由于自然灾害、战争、证券交易所系统性故障等不可抗力因素的出现，将严重影响金融市场的正常运行，从而导致本产品投资资产收益降低或损失，甚至影响本产品的受理、投资、偿还等的正常进行，进而影响产品的本金和收益安全。</w:t>
      </w:r>
    </w:p>
    <w:p>
      <w:pPr>
        <w:numPr>
          <w:ilvl w:val="0"/>
          <w:numId w:val="2"/>
        </w:numPr>
        <w:rPr>
          <w:rFonts w:ascii="宋体" w:hAnsi="宋体"/>
          <w:b/>
          <w:bCs/>
          <w:sz w:val="18"/>
          <w:szCs w:val="18"/>
          <w:highlight w:val="none"/>
        </w:rPr>
      </w:pPr>
      <w:r>
        <w:rPr>
          <w:rFonts w:hint="eastAsia" w:ascii="宋体" w:hAnsi="宋体"/>
          <w:b/>
          <w:bCs/>
          <w:sz w:val="18"/>
          <w:szCs w:val="18"/>
          <w:highlight w:val="none"/>
        </w:rPr>
        <w:t>最不利情况下，由于市场波动导致贬值或者发生信用风险导致相应损失，使产品赎回或到期/提前终止时理财投资收入有可能不足以支付投资者所获分配金额，届时理财资金将按照产品赎回或到期/提前终止时的产品实际现金资产向投资者进行分配。但理财产品将向发生信用风险的投资品种发行主体进行追偿，所追偿的全部收益在扣除相关费用后，将继续向投资者进行清偿。</w:t>
      </w:r>
    </w:p>
    <w:p>
      <w:pPr>
        <w:rPr>
          <w:rFonts w:ascii="宋体" w:hAnsi="宋体"/>
          <w:sz w:val="18"/>
          <w:szCs w:val="18"/>
          <w:highlight w:val="none"/>
        </w:rPr>
      </w:pPr>
    </w:p>
    <w:p>
      <w:pPr>
        <w:numPr>
          <w:ilvl w:val="0"/>
          <w:numId w:val="2"/>
        </w:numPr>
        <w:ind w:left="0" w:firstLine="0"/>
        <w:rPr>
          <w:rFonts w:ascii="宋体" w:hAnsi="宋体"/>
          <w:sz w:val="18"/>
          <w:szCs w:val="18"/>
          <w:highlight w:val="none"/>
        </w:rPr>
      </w:pPr>
      <w:r>
        <w:rPr>
          <w:rFonts w:hint="eastAsia" w:ascii="宋体" w:hAnsi="宋体"/>
          <w:b/>
          <w:bCs/>
          <w:sz w:val="18"/>
          <w:szCs w:val="18"/>
          <w:highlight w:val="none"/>
        </w:rPr>
        <w:t>本理财产品为</w:t>
      </w:r>
      <w:r>
        <w:rPr>
          <w:rFonts w:hint="eastAsia" w:ascii="宋体" w:hAnsi="宋体"/>
          <w:b/>
          <w:bCs/>
          <w:sz w:val="18"/>
          <w:szCs w:val="18"/>
          <w:highlight w:val="none"/>
          <w:u w:val="single"/>
        </w:rPr>
        <w:t>非保本固定收益类净值型</w:t>
      </w:r>
      <w:r>
        <w:rPr>
          <w:rFonts w:hint="eastAsia" w:ascii="宋体" w:hAnsi="宋体"/>
          <w:b/>
          <w:bCs/>
          <w:sz w:val="18"/>
          <w:szCs w:val="18"/>
          <w:highlight w:val="none"/>
        </w:rPr>
        <w:t>产品，期限</w:t>
      </w:r>
      <w:r>
        <w:rPr>
          <w:rFonts w:hint="eastAsia" w:ascii="宋体" w:hAnsi="宋体"/>
          <w:b/>
          <w:bCs/>
          <w:sz w:val="18"/>
          <w:szCs w:val="18"/>
          <w:highlight w:val="none"/>
          <w:u w:val="single"/>
          <w:lang w:val="en-US" w:eastAsia="zh-CN"/>
        </w:rPr>
        <w:t>1981</w:t>
      </w:r>
      <w:r>
        <w:rPr>
          <w:rFonts w:hint="eastAsia" w:ascii="宋体" w:hAnsi="宋体"/>
          <w:b/>
          <w:bCs/>
          <w:sz w:val="18"/>
          <w:szCs w:val="18"/>
          <w:highlight w:val="none"/>
          <w:u w:val="single"/>
        </w:rPr>
        <w:t>天</w:t>
      </w:r>
      <w:r>
        <w:rPr>
          <w:rFonts w:hint="eastAsia" w:ascii="宋体" w:hAnsi="宋体"/>
          <w:b/>
          <w:bCs/>
          <w:sz w:val="18"/>
          <w:szCs w:val="18"/>
          <w:highlight w:val="none"/>
        </w:rPr>
        <w:t>，根据常熟农商银行内部风险评级标准，本产品风险评级为</w:t>
      </w:r>
      <w:r>
        <w:rPr>
          <w:rFonts w:hint="eastAsia" w:ascii="宋体" w:hAnsi="宋体"/>
          <w:b/>
          <w:bCs/>
          <w:sz w:val="18"/>
          <w:szCs w:val="18"/>
          <w:highlight w:val="none"/>
          <w:lang w:eastAsia="zh-CN"/>
        </w:rPr>
        <w:t>三</w:t>
      </w:r>
      <w:r>
        <w:rPr>
          <w:rFonts w:hint="eastAsia" w:ascii="宋体" w:hAnsi="宋体"/>
          <w:b/>
          <w:bCs/>
          <w:sz w:val="18"/>
          <w:szCs w:val="18"/>
          <w:highlight w:val="none"/>
          <w:u w:val="single"/>
        </w:rPr>
        <w:t>级</w:t>
      </w:r>
      <w:r>
        <w:rPr>
          <w:rFonts w:hint="eastAsia" w:ascii="宋体" w:hAnsi="宋体"/>
          <w:b/>
          <w:bCs/>
          <w:sz w:val="18"/>
          <w:szCs w:val="18"/>
          <w:highlight w:val="none"/>
        </w:rPr>
        <w:t>，适合购买的投资者为</w:t>
      </w:r>
      <w:r>
        <w:rPr>
          <w:rFonts w:hint="eastAsia" w:ascii="宋体" w:hAnsi="宋体"/>
          <w:b/>
          <w:bCs/>
          <w:sz w:val="18"/>
          <w:szCs w:val="18"/>
          <w:highlight w:val="none"/>
          <w:u w:val="single"/>
        </w:rPr>
        <w:t>稳健型、进取型、积极进取型</w:t>
      </w:r>
      <w:r>
        <w:rPr>
          <w:rFonts w:hint="eastAsia" w:ascii="宋体" w:hAnsi="宋体"/>
          <w:b/>
          <w:bCs/>
          <w:sz w:val="18"/>
          <w:szCs w:val="18"/>
          <w:highlight w:val="none"/>
        </w:rPr>
        <w:t>。最不利情形下投资结果示例：</w:t>
      </w:r>
    </w:p>
    <w:p>
      <w:pPr>
        <w:rPr>
          <w:rFonts w:ascii="宋体" w:hAnsi="宋体"/>
          <w:sz w:val="18"/>
          <w:szCs w:val="18"/>
          <w:highlight w:val="none"/>
        </w:rPr>
      </w:pPr>
      <w:r>
        <w:rPr>
          <w:rFonts w:hint="eastAsia" w:ascii="宋体" w:hAnsi="宋体"/>
          <w:b/>
          <w:bCs/>
          <w:sz w:val="18"/>
          <w:szCs w:val="18"/>
          <w:highlight w:val="none"/>
          <w:u w:val="single"/>
        </w:rPr>
        <w:t>假如投资者以10万元本金认购本产品，最不利情形下，投资者可获得的本理财产品的本金及收益为0，即10万元本金及收益全部损失。</w:t>
      </w:r>
    </w:p>
    <w:p>
      <w:pPr>
        <w:rPr>
          <w:rFonts w:ascii="宋体" w:hAnsi="宋体"/>
          <w:b/>
          <w:sz w:val="18"/>
          <w:szCs w:val="18"/>
          <w:highlight w:val="none"/>
        </w:rPr>
      </w:pPr>
      <w:r>
        <w:rPr>
          <w:rFonts w:hint="eastAsia" w:ascii="宋体" w:hAnsi="宋体"/>
          <w:sz w:val="18"/>
          <w:szCs w:val="18"/>
          <w:highlight w:val="none"/>
        </w:rPr>
        <w:t>本《风险揭示书》所揭示事项仅为列举性质，未能详尽列明投资者参与本理财产品所面临的全部风险和可能导致投资者资产损失的所有因素。您在做出投资决定、签署理财产品协议之前应</w:t>
      </w:r>
      <w:r>
        <w:rPr>
          <w:rFonts w:hint="eastAsia" w:ascii="宋体" w:hAnsi="宋体"/>
          <w:b/>
          <w:sz w:val="18"/>
          <w:szCs w:val="18"/>
          <w:highlight w:val="none"/>
        </w:rPr>
        <w:t>认真阅读理财产品协议、对应的产品说明书、风险揭示专页、投资者权益须知专页中全部条款与内容</w:t>
      </w:r>
      <w:r>
        <w:rPr>
          <w:rFonts w:hint="eastAsia" w:ascii="宋体" w:hAnsi="宋体"/>
          <w:sz w:val="18"/>
          <w:szCs w:val="18"/>
          <w:highlight w:val="none"/>
        </w:rPr>
        <w:t>，并</w:t>
      </w:r>
      <w:r>
        <w:rPr>
          <w:rFonts w:hint="eastAsia" w:ascii="宋体" w:hAnsi="宋体"/>
          <w:b/>
          <w:sz w:val="18"/>
          <w:szCs w:val="18"/>
          <w:highlight w:val="none"/>
        </w:rPr>
        <w:t>了解相关本产品的基本情况和投资风险与收益状况</w:t>
      </w:r>
      <w:r>
        <w:rPr>
          <w:rFonts w:hint="eastAsia" w:ascii="宋体" w:hAnsi="宋体"/>
          <w:sz w:val="18"/>
          <w:szCs w:val="18"/>
          <w:highlight w:val="none"/>
        </w:rPr>
        <w:t>，如有任何疑问即应向常熟农商银行或其他权威机构进行咨询、查询、查阅有关资料及寻求解释。您应仅在确认您具有识别及承担相关风险的能力、确认已从常熟农商银行获得令您满意的信息披露及充分而必要的风险揭示，确认拟进行的产品交易完全符合您本身从事该交易的目的之后，才可继续进行购买交易。</w:t>
      </w:r>
      <w:r>
        <w:rPr>
          <w:rFonts w:hint="eastAsia" w:ascii="宋体" w:hAnsi="宋体"/>
          <w:b/>
          <w:sz w:val="18"/>
          <w:szCs w:val="18"/>
          <w:highlight w:val="none"/>
        </w:rPr>
        <w:t>如影响您风险承受能力的因素发生变化，请及时完成风险承受能力评估。</w:t>
      </w:r>
    </w:p>
    <w:p>
      <w:pPr>
        <w:pStyle w:val="7"/>
        <w:pBdr>
          <w:top w:val="single" w:color="auto" w:sz="4" w:space="1"/>
          <w:left w:val="single" w:color="auto" w:sz="4" w:space="4"/>
          <w:bottom w:val="single" w:color="auto" w:sz="4" w:space="1"/>
          <w:right w:val="single" w:color="auto" w:sz="4" w:space="4"/>
        </w:pBdr>
        <w:ind w:left="0" w:leftChars="0"/>
        <w:rPr>
          <w:rFonts w:ascii="宋体" w:hAnsi="宋体"/>
          <w:b/>
          <w:i/>
          <w:sz w:val="24"/>
          <w:szCs w:val="24"/>
          <w:highlight w:val="none"/>
          <w:u w:val="single"/>
        </w:rPr>
      </w:pPr>
      <w:r>
        <w:rPr>
          <w:rFonts w:hint="eastAsia" w:ascii="宋体" w:hAnsi="宋体"/>
          <w:b/>
          <w:i/>
          <w:sz w:val="24"/>
          <w:szCs w:val="24"/>
          <w:highlight w:val="none"/>
          <w:u w:val="single"/>
        </w:rPr>
        <w:t>特别提示：</w:t>
      </w:r>
    </w:p>
    <w:p>
      <w:pPr>
        <w:pStyle w:val="7"/>
        <w:pBdr>
          <w:top w:val="single" w:color="auto" w:sz="4" w:space="1"/>
          <w:left w:val="single" w:color="auto" w:sz="4" w:space="4"/>
          <w:bottom w:val="single" w:color="auto" w:sz="4" w:space="1"/>
          <w:right w:val="single" w:color="auto" w:sz="4" w:space="4"/>
        </w:pBdr>
        <w:ind w:left="0" w:leftChars="0"/>
        <w:rPr>
          <w:rFonts w:ascii="宋体" w:hAnsi="宋体"/>
          <w:b/>
          <w:i/>
          <w:sz w:val="24"/>
          <w:szCs w:val="24"/>
          <w:highlight w:val="none"/>
        </w:rPr>
      </w:pPr>
      <w:r>
        <w:rPr>
          <w:rFonts w:hint="eastAsia" w:ascii="宋体" w:hAnsi="宋体"/>
          <w:b/>
          <w:i/>
          <w:sz w:val="24"/>
          <w:szCs w:val="24"/>
          <w:highlight w:val="none"/>
        </w:rPr>
        <w:t>理财非存款、产品有风险、投资需谨慎。</w:t>
      </w:r>
    </w:p>
    <w:p>
      <w:pPr>
        <w:pStyle w:val="7"/>
        <w:pBdr>
          <w:top w:val="single" w:color="auto" w:sz="4" w:space="1"/>
          <w:left w:val="single" w:color="auto" w:sz="4" w:space="4"/>
          <w:bottom w:val="single" w:color="auto" w:sz="4" w:space="1"/>
          <w:right w:val="single" w:color="auto" w:sz="4" w:space="4"/>
        </w:pBdr>
        <w:ind w:left="0" w:leftChars="0"/>
        <w:rPr>
          <w:rFonts w:ascii="宋体" w:hAnsi="宋体"/>
          <w:b/>
          <w:i/>
          <w:sz w:val="24"/>
          <w:szCs w:val="24"/>
          <w:highlight w:val="none"/>
        </w:rPr>
      </w:pPr>
      <w:r>
        <w:rPr>
          <w:rFonts w:hint="eastAsia" w:ascii="宋体" w:hAnsi="宋体"/>
          <w:b/>
          <w:i/>
          <w:sz w:val="24"/>
          <w:szCs w:val="24"/>
          <w:highlight w:val="none"/>
        </w:rPr>
        <w:t>理财产品过往业绩不代表其未来表现，不等于理财产品实际收益，投资须谨慎。</w:t>
      </w:r>
    </w:p>
    <w:p>
      <w:pPr>
        <w:ind w:firstLine="360" w:firstLineChars="200"/>
        <w:rPr>
          <w:rFonts w:ascii="宋体" w:hAnsi="宋体"/>
          <w:sz w:val="18"/>
          <w:szCs w:val="18"/>
          <w:highlight w:val="none"/>
          <w:u w:val="single"/>
        </w:rPr>
      </w:pPr>
      <w:r>
        <w:rPr>
          <w:rFonts w:ascii="宋体" w:hAnsi="宋体"/>
          <w:sz w:val="18"/>
          <w:szCs w:val="18"/>
          <w:highlight w:val="none"/>
          <w:u w:val="single"/>
        </w:rPr>
        <w:t xml:space="preserve">    </w:t>
      </w:r>
      <w:r>
        <w:rPr>
          <w:rFonts w:hint="eastAsia" w:ascii="宋体" w:hAnsi="宋体"/>
          <w:sz w:val="18"/>
          <w:szCs w:val="18"/>
          <w:highlight w:val="none"/>
          <w:u w:val="single"/>
        </w:rPr>
        <w:t xml:space="preserve">                                                                                    </w:t>
      </w:r>
    </w:p>
    <w:p>
      <w:pPr>
        <w:jc w:val="center"/>
        <w:rPr>
          <w:rFonts w:ascii="宋体" w:hAnsi="宋体"/>
          <w:b/>
          <w:sz w:val="18"/>
          <w:szCs w:val="18"/>
          <w:highlight w:val="none"/>
        </w:rPr>
      </w:pPr>
      <w:r>
        <w:rPr>
          <w:rFonts w:hint="eastAsia" w:ascii="宋体" w:hAnsi="宋体"/>
          <w:b/>
          <w:sz w:val="18"/>
          <w:szCs w:val="18"/>
          <w:highlight w:val="none"/>
        </w:rPr>
        <w:t>投资者确认栏</w:t>
      </w:r>
    </w:p>
    <w:p>
      <w:pPr>
        <w:adjustRightInd w:val="0"/>
        <w:ind w:firstLine="270" w:firstLineChars="150"/>
        <w:rPr>
          <w:rFonts w:ascii="宋体" w:hAnsi="宋体" w:cs="宋体"/>
          <w:kern w:val="0"/>
          <w:sz w:val="18"/>
          <w:szCs w:val="18"/>
          <w:highlight w:val="none"/>
        </w:rPr>
      </w:pPr>
      <w:r>
        <w:rPr>
          <w:rFonts w:hint="eastAsia" w:ascii="宋体" w:hAnsi="宋体" w:cs="宋体"/>
          <w:kern w:val="0"/>
          <w:sz w:val="18"/>
          <w:szCs w:val="18"/>
          <w:highlight w:val="none"/>
        </w:rPr>
        <w:t xml:space="preserve">本人确认如下： </w:t>
      </w:r>
    </w:p>
    <w:p>
      <w:pPr>
        <w:adjustRightInd w:val="0"/>
        <w:ind w:firstLine="360" w:firstLineChars="200"/>
        <w:rPr>
          <w:rFonts w:ascii="宋体" w:hAnsi="宋体"/>
          <w:sz w:val="18"/>
          <w:szCs w:val="18"/>
          <w:highlight w:val="none"/>
        </w:rPr>
      </w:pPr>
      <w:r>
        <w:rPr>
          <w:rFonts w:hint="eastAsia" w:ascii="宋体" w:hAnsi="宋体"/>
          <w:sz w:val="18"/>
          <w:szCs w:val="18"/>
          <w:highlight w:val="none"/>
        </w:rPr>
        <w:t>本人的风险承受能力评级为：</w:t>
      </w:r>
    </w:p>
    <w:p>
      <w:pPr>
        <w:adjustRightInd w:val="0"/>
        <w:ind w:firstLine="360" w:firstLineChars="200"/>
        <w:rPr>
          <w:rFonts w:ascii="宋体" w:hAnsi="宋体"/>
          <w:sz w:val="18"/>
          <w:szCs w:val="18"/>
          <w:highlight w:val="none"/>
        </w:rPr>
      </w:pPr>
      <w:r>
        <w:rPr>
          <w:rFonts w:hint="eastAsia" w:ascii="宋体" w:hAnsi="宋体"/>
          <w:sz w:val="18"/>
          <w:szCs w:val="18"/>
          <w:highlight w:val="none"/>
        </w:rPr>
        <w:t>□保守型（一级）    □谨慎型（二级）   □稳健型（三级）   □进取型（四级）   □积极进取型（五级）。</w:t>
      </w:r>
    </w:p>
    <w:p>
      <w:pPr>
        <w:ind w:firstLine="361" w:firstLineChars="200"/>
        <w:rPr>
          <w:rFonts w:ascii="宋体" w:hAnsi="宋体"/>
          <w:sz w:val="18"/>
          <w:szCs w:val="18"/>
          <w:highlight w:val="none"/>
        </w:rPr>
      </w:pPr>
      <w:r>
        <w:rPr>
          <w:rFonts w:hint="eastAsia" w:ascii="宋体" w:hAnsi="宋体"/>
          <w:b/>
          <w:bCs/>
          <w:sz w:val="18"/>
          <w:szCs w:val="18"/>
          <w:highlight w:val="none"/>
        </w:rPr>
        <w:t>投资决策完全是由本人独立、自主、谨慎做出的。本人已经阅读《理财产品协议书》、《投资者权益须知》、《风险揭示书》及《理财产品说明书》所有条款，并充分了解该产品可能存在的风险情况及最不利投资情形。本产品销售机构已提请本人特别注意以上文本约定的有关免除或减轻银行责任，和银行单方面拥有某些权利，以及增加本人义务或限制本人权利等与本人有重大利害关系的条款，尤其是加粗、斜体、加框条款,并应本人要求进行了充分解释。</w:t>
      </w:r>
    </w:p>
    <w:p>
      <w:pPr>
        <w:spacing w:beforeLines="50"/>
        <w:ind w:firstLine="360" w:firstLineChars="200"/>
        <w:rPr>
          <w:rFonts w:ascii="宋体" w:hAnsi="宋体"/>
          <w:sz w:val="18"/>
          <w:szCs w:val="18"/>
          <w:highlight w:val="none"/>
        </w:rPr>
      </w:pPr>
      <w:r>
        <w:rPr>
          <w:rFonts w:hint="eastAsia" w:ascii="宋体" w:hAnsi="宋体"/>
          <w:sz w:val="18"/>
          <w:szCs w:val="18"/>
          <w:highlight w:val="none"/>
        </w:rPr>
        <w:t>抄录：</w:t>
      </w:r>
      <w:r>
        <w:rPr>
          <w:rFonts w:hint="eastAsia" w:ascii="宋体" w:hAnsi="宋体"/>
          <w:b/>
          <w:bCs/>
          <w:sz w:val="18"/>
          <w:szCs w:val="18"/>
          <w:highlight w:val="none"/>
        </w:rPr>
        <w:t>本人已阅读风险揭示，愿意承担投资风险。（电子渠道以点击确认为准，柜面渠道以手写抄录签名为准）</w:t>
      </w:r>
    </w:p>
    <w:p>
      <w:pPr>
        <w:ind w:firstLine="360" w:firstLineChars="200"/>
        <w:rPr>
          <w:rFonts w:ascii="宋体" w:hAnsi="宋体"/>
          <w:sz w:val="18"/>
          <w:szCs w:val="18"/>
          <w:highlight w:val="none"/>
          <w:u w:val="single"/>
        </w:rPr>
      </w:pPr>
      <w:r>
        <w:rPr>
          <w:rFonts w:hint="eastAsia" w:ascii="宋体" w:hAnsi="宋体"/>
          <w:sz w:val="18"/>
          <w:szCs w:val="18"/>
          <w:highlight w:val="none"/>
          <w:u w:val="single"/>
        </w:rPr>
        <w:t xml:space="preserve">                                                                   </w:t>
      </w:r>
      <w:r>
        <w:rPr>
          <w:rFonts w:hint="eastAsia" w:ascii="宋体" w:hAnsi="宋体"/>
          <w:sz w:val="18"/>
          <w:szCs w:val="18"/>
          <w:highlight w:val="none"/>
          <w:u w:val="single"/>
          <w:lang w:val="en-US" w:eastAsia="zh-CN"/>
        </w:rPr>
        <w:t xml:space="preserve">          </w:t>
      </w:r>
      <w:r>
        <w:rPr>
          <w:rFonts w:hint="eastAsia" w:ascii="宋体" w:hAnsi="宋体"/>
          <w:sz w:val="18"/>
          <w:szCs w:val="18"/>
          <w:highlight w:val="none"/>
          <w:u w:val="single"/>
        </w:rPr>
        <w:t xml:space="preserve">           </w:t>
      </w:r>
    </w:p>
    <w:p>
      <w:pPr>
        <w:ind w:firstLine="360" w:firstLineChars="200"/>
        <w:rPr>
          <w:rFonts w:hint="eastAsia" w:ascii="宋体" w:hAnsi="宋体"/>
          <w:sz w:val="18"/>
          <w:szCs w:val="18"/>
          <w:highlight w:val="none"/>
          <w:u w:val="single"/>
        </w:rPr>
      </w:pPr>
      <w:r>
        <w:rPr>
          <w:rFonts w:hint="eastAsia" w:ascii="宋体" w:hAnsi="宋体"/>
          <w:sz w:val="18"/>
          <w:szCs w:val="18"/>
          <w:highlight w:val="none"/>
          <w:lang w:eastAsia="zh-CN"/>
        </w:rPr>
        <w:t>个人</w:t>
      </w:r>
      <w:r>
        <w:rPr>
          <w:rFonts w:hint="eastAsia" w:ascii="宋体" w:hAnsi="宋体"/>
          <w:sz w:val="18"/>
          <w:szCs w:val="18"/>
          <w:highlight w:val="none"/>
        </w:rPr>
        <w:t>投资者</w:t>
      </w:r>
      <w:r>
        <w:rPr>
          <w:rFonts w:hint="eastAsia" w:ascii="宋体" w:hAnsi="宋体"/>
          <w:sz w:val="18"/>
          <w:szCs w:val="18"/>
          <w:highlight w:val="none"/>
          <w:lang w:eastAsia="zh-CN"/>
        </w:rPr>
        <w:t>（</w:t>
      </w:r>
      <w:r>
        <w:rPr>
          <w:rFonts w:hint="eastAsia" w:ascii="宋体" w:hAnsi="宋体"/>
          <w:sz w:val="18"/>
          <w:szCs w:val="18"/>
          <w:highlight w:val="none"/>
        </w:rPr>
        <w:t>签名</w:t>
      </w:r>
      <w:r>
        <w:rPr>
          <w:rFonts w:hint="eastAsia" w:ascii="宋体" w:hAnsi="宋体"/>
          <w:sz w:val="18"/>
          <w:szCs w:val="18"/>
          <w:highlight w:val="none"/>
          <w:lang w:eastAsia="zh-CN"/>
        </w:rPr>
        <w:t>或按指印）</w:t>
      </w:r>
      <w:r>
        <w:rPr>
          <w:rFonts w:hint="eastAsia" w:ascii="宋体" w:hAnsi="宋体"/>
          <w:sz w:val="18"/>
          <w:szCs w:val="18"/>
          <w:highlight w:val="none"/>
        </w:rPr>
        <w:t>：</w:t>
      </w:r>
      <w:r>
        <w:rPr>
          <w:rFonts w:ascii="宋体" w:hAnsi="宋体"/>
          <w:sz w:val="18"/>
          <w:szCs w:val="18"/>
          <w:highlight w:val="none"/>
          <w:u w:val="single"/>
        </w:rPr>
        <w:t xml:space="preserve">                  </w:t>
      </w:r>
      <w:r>
        <w:rPr>
          <w:rFonts w:hint="eastAsia" w:ascii="宋体" w:hAnsi="宋体"/>
          <w:sz w:val="18"/>
          <w:szCs w:val="18"/>
          <w:highlight w:val="none"/>
          <w:u w:val="single"/>
        </w:rPr>
        <w:t xml:space="preserve">    </w:t>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机构投资者（</w:t>
      </w:r>
      <w:r>
        <w:rPr>
          <w:rFonts w:hint="eastAsia" w:ascii="宋体" w:hAnsi="宋体"/>
          <w:sz w:val="18"/>
          <w:szCs w:val="18"/>
          <w:highlight w:val="none"/>
          <w:lang w:eastAsia="zh-CN"/>
        </w:rPr>
        <w:t>预留印鉴</w:t>
      </w:r>
      <w:r>
        <w:rPr>
          <w:rFonts w:hint="eastAsia" w:ascii="宋体" w:hAnsi="宋体"/>
          <w:sz w:val="18"/>
          <w:szCs w:val="18"/>
          <w:highlight w:val="none"/>
        </w:rPr>
        <w:t>）：</w:t>
      </w:r>
      <w:r>
        <w:rPr>
          <w:rFonts w:hint="eastAsia" w:ascii="宋体" w:hAnsi="宋体"/>
          <w:sz w:val="18"/>
          <w:szCs w:val="18"/>
          <w:highlight w:val="none"/>
          <w:u w:val="single"/>
          <w:lang w:val="en-US" w:eastAsia="zh-CN"/>
        </w:rPr>
        <w:t xml:space="preserve">                               </w:t>
      </w:r>
    </w:p>
    <w:p>
      <w:pPr>
        <w:ind w:firstLine="360" w:firstLineChars="200"/>
        <w:jc w:val="right"/>
        <w:rPr>
          <w:rFonts w:hint="eastAsia" w:ascii="宋体" w:hAnsi="宋体"/>
          <w:sz w:val="18"/>
          <w:szCs w:val="18"/>
          <w:highlight w:val="none"/>
        </w:rPr>
      </w:pPr>
      <w:r>
        <w:rPr>
          <w:rFonts w:hint="eastAsia" w:ascii="宋体" w:hAnsi="宋体"/>
          <w:sz w:val="18"/>
          <w:szCs w:val="18"/>
          <w:highlight w:val="none"/>
        </w:rPr>
        <w:t>年    月    日</w:t>
      </w:r>
    </w:p>
    <w:p>
      <w:pPr>
        <w:jc w:val="center"/>
        <w:rPr>
          <w:rFonts w:hint="eastAsia" w:ascii="宋体" w:hAnsi="宋体"/>
          <w:b/>
          <w:sz w:val="28"/>
          <w:szCs w:val="28"/>
          <w:highlight w:val="none"/>
        </w:rPr>
      </w:pPr>
    </w:p>
    <w:p>
      <w:pPr>
        <w:jc w:val="center"/>
        <w:rPr>
          <w:rFonts w:ascii="宋体" w:hAnsi="宋体"/>
          <w:b/>
          <w:sz w:val="28"/>
          <w:szCs w:val="28"/>
          <w:highlight w:val="none"/>
        </w:rPr>
      </w:pPr>
      <w:r>
        <w:rPr>
          <w:rFonts w:hint="eastAsia" w:ascii="宋体" w:hAnsi="宋体"/>
          <w:b/>
          <w:sz w:val="28"/>
          <w:szCs w:val="28"/>
          <w:highlight w:val="none"/>
        </w:rPr>
        <w:t>投资者权益须知</w:t>
      </w:r>
    </w:p>
    <w:p>
      <w:pPr>
        <w:rPr>
          <w:rFonts w:ascii="宋体" w:hAnsi="宋体"/>
          <w:b/>
          <w:sz w:val="18"/>
          <w:szCs w:val="18"/>
          <w:highlight w:val="none"/>
        </w:rPr>
      </w:pPr>
      <w:r>
        <w:rPr>
          <w:rFonts w:hint="eastAsia" w:ascii="宋体" w:hAnsi="宋体"/>
          <w:b/>
          <w:sz w:val="18"/>
          <w:szCs w:val="18"/>
          <w:highlight w:val="none"/>
        </w:rPr>
        <w:t>一、投资者购买理财产品的流程：</w:t>
      </w:r>
    </w:p>
    <w:p>
      <w:pPr>
        <w:rPr>
          <w:rFonts w:ascii="宋体" w:hAnsi="宋体"/>
          <w:b/>
          <w:sz w:val="18"/>
          <w:szCs w:val="18"/>
          <w:highlight w:val="none"/>
        </w:rPr>
      </w:pPr>
      <w:r>
        <w:rPr>
          <w:rFonts w:ascii="Calibri" w:hAnsi="Calibri" w:eastAsia="宋体" w:cs="Calibri"/>
          <w:kern w:val="2"/>
          <w:sz w:val="21"/>
          <w:szCs w:val="21"/>
          <w:highlight w:val="none"/>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274320</wp:posOffset>
                </wp:positionV>
                <wp:extent cx="4575175" cy="1781810"/>
                <wp:effectExtent l="4445" t="5080" r="0" b="22860"/>
                <wp:wrapTopAndBottom/>
                <wp:docPr id="18" name="组合 1"/>
                <wp:cNvGraphicFramePr/>
                <a:graphic xmlns:a="http://schemas.openxmlformats.org/drawingml/2006/main">
                  <a:graphicData uri="http://schemas.microsoft.com/office/word/2010/wordprocessingGroup">
                    <wpg:wgp>
                      <wpg:cNvGrpSpPr/>
                      <wpg:grpSpPr>
                        <a:xfrm>
                          <a:off x="0" y="0"/>
                          <a:ext cx="4575175" cy="1781810"/>
                          <a:chOff x="0" y="0"/>
                          <a:chExt cx="7205" cy="2806"/>
                        </a:xfrm>
                      </wpg:grpSpPr>
                      <wps:wsp>
                        <wps:cNvPr id="3" name="矩形 20"/>
                        <wps:cNvSpPr/>
                        <wps:spPr>
                          <a:xfrm>
                            <a:off x="0" y="0"/>
                            <a:ext cx="7205" cy="2806"/>
                          </a:xfrm>
                          <a:prstGeom prst="rect">
                            <a:avLst/>
                          </a:prstGeom>
                          <a:noFill/>
                          <a:ln>
                            <a:noFill/>
                          </a:ln>
                        </wps:spPr>
                        <wps:bodyPr upright="1"/>
                      </wps:wsp>
                      <wpg:grpSp>
                        <wpg:cNvPr id="17" name="Group 4"/>
                        <wpg:cNvGrpSpPr/>
                        <wpg:grpSpPr>
                          <a:xfrm>
                            <a:off x="0" y="0"/>
                            <a:ext cx="6617" cy="2806"/>
                            <a:chOff x="0" y="0"/>
                            <a:chExt cx="6617" cy="2806"/>
                          </a:xfrm>
                        </wpg:grpSpPr>
                        <wps:wsp>
                          <wps:cNvPr id="4" name="自选图形 22"/>
                          <wps:cNvSpPr/>
                          <wps:spPr>
                            <a:xfrm>
                              <a:off x="588" y="255"/>
                              <a:ext cx="442" cy="257"/>
                            </a:xfrm>
                            <a:prstGeom prst="rightArrow">
                              <a:avLst>
                                <a:gd name="adj1" fmla="val 50000"/>
                                <a:gd name="adj2" fmla="val 42956"/>
                              </a:avLst>
                            </a:prstGeom>
                            <a:solidFill>
                              <a:srgbClr val="FFFFFF"/>
                            </a:solidFill>
                            <a:ln w="9525" cap="flat" cmpd="sng">
                              <a:solidFill>
                                <a:srgbClr val="000000"/>
                              </a:solidFill>
                              <a:prstDash val="solid"/>
                              <a:miter/>
                              <a:headEnd type="none" w="med" len="med"/>
                              <a:tailEnd type="none" w="med" len="med"/>
                            </a:ln>
                          </wps:spPr>
                          <wps:bodyPr upright="1"/>
                        </wps:wsp>
                        <wps:wsp>
                          <wps:cNvPr id="5" name="矩形 23"/>
                          <wps:cNvSpPr/>
                          <wps:spPr>
                            <a:xfrm>
                              <a:off x="1029" y="0"/>
                              <a:ext cx="588"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cs="宋体"/>
                                    <w:sz w:val="13"/>
                                    <w:szCs w:val="13"/>
                                  </w:rPr>
                                  <w:t>银行营业网点柜面</w:t>
                                </w:r>
                              </w:p>
                            </w:txbxContent>
                          </wps:txbx>
                          <wps:bodyPr upright="1"/>
                        </wps:wsp>
                        <wps:wsp>
                          <wps:cNvPr id="6" name="自选图形 24"/>
                          <wps:cNvSpPr/>
                          <wps:spPr>
                            <a:xfrm>
                              <a:off x="1617" y="255"/>
                              <a:ext cx="442" cy="257"/>
                            </a:xfrm>
                            <a:prstGeom prst="rightArrow">
                              <a:avLst>
                                <a:gd name="adj1" fmla="val 50000"/>
                                <a:gd name="adj2" fmla="val 42956"/>
                              </a:avLst>
                            </a:prstGeom>
                            <a:solidFill>
                              <a:srgbClr val="FFFFFF"/>
                            </a:solidFill>
                            <a:ln w="9525" cap="flat" cmpd="sng">
                              <a:solidFill>
                                <a:srgbClr val="000000"/>
                              </a:solidFill>
                              <a:prstDash val="solid"/>
                              <a:miter/>
                              <a:headEnd type="none" w="med" len="med"/>
                              <a:tailEnd type="none" w="med" len="med"/>
                            </a:ln>
                          </wps:spPr>
                          <wps:bodyPr upright="1"/>
                        </wps:wsp>
                        <wps:wsp>
                          <wps:cNvPr id="7" name="矩形 25"/>
                          <wps:cNvSpPr/>
                          <wps:spPr>
                            <a:xfrm>
                              <a:off x="2059" y="0"/>
                              <a:ext cx="1028"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cs="宋体"/>
                                    <w:sz w:val="13"/>
                                    <w:szCs w:val="13"/>
                                  </w:rPr>
                                  <w:t>在银行员工指点下，进行风险承受能力测评（首次）</w:t>
                                </w:r>
                              </w:p>
                            </w:txbxContent>
                          </wps:txbx>
                          <wps:bodyPr upright="1"/>
                        </wps:wsp>
                        <wps:wsp>
                          <wps:cNvPr id="8" name="自选图形 26"/>
                          <wps:cNvSpPr/>
                          <wps:spPr>
                            <a:xfrm>
                              <a:off x="3088" y="255"/>
                              <a:ext cx="441" cy="257"/>
                            </a:xfrm>
                            <a:prstGeom prst="rightArrow">
                              <a:avLst>
                                <a:gd name="adj1" fmla="val 50000"/>
                                <a:gd name="adj2" fmla="val 42851"/>
                              </a:avLst>
                            </a:prstGeom>
                            <a:solidFill>
                              <a:srgbClr val="FFFFFF"/>
                            </a:solidFill>
                            <a:ln w="9525" cap="flat" cmpd="sng">
                              <a:solidFill>
                                <a:srgbClr val="000000"/>
                              </a:solidFill>
                              <a:prstDash val="solid"/>
                              <a:miter/>
                              <a:headEnd type="none" w="med" len="med"/>
                              <a:tailEnd type="none" w="med" len="med"/>
                            </a:ln>
                          </wps:spPr>
                          <wps:bodyPr upright="1"/>
                        </wps:wsp>
                        <wps:wsp>
                          <wps:cNvPr id="9" name="矩形 27"/>
                          <wps:cNvSpPr/>
                          <wps:spPr>
                            <a:xfrm>
                              <a:off x="3529" y="0"/>
                              <a:ext cx="1176"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cs="宋体"/>
                                    <w:sz w:val="13"/>
                                    <w:szCs w:val="13"/>
                                  </w:rPr>
                                  <w:t>结合自己的风险承受能力和产品属性，选择合适的产品</w:t>
                                </w:r>
                              </w:p>
                            </w:txbxContent>
                          </wps:txbx>
                          <wps:bodyPr upright="1"/>
                        </wps:wsp>
                        <wps:wsp>
                          <wps:cNvPr id="10" name="自选图形 28"/>
                          <wps:cNvSpPr/>
                          <wps:spPr>
                            <a:xfrm>
                              <a:off x="5881" y="1019"/>
                              <a:ext cx="148" cy="766"/>
                            </a:xfrm>
                            <a:prstGeom prst="downArrow">
                              <a:avLst>
                                <a:gd name="adj1" fmla="val 50000"/>
                                <a:gd name="adj2" fmla="val 129272"/>
                              </a:avLst>
                            </a:prstGeom>
                            <a:solidFill>
                              <a:srgbClr val="FFFFFF"/>
                            </a:solidFill>
                            <a:ln w="9525" cap="flat" cmpd="sng">
                              <a:solidFill>
                                <a:srgbClr val="000000"/>
                              </a:solidFill>
                              <a:prstDash val="solid"/>
                              <a:miter/>
                              <a:headEnd type="none" w="med" len="med"/>
                              <a:tailEnd type="none" w="med" len="med"/>
                            </a:ln>
                          </wps:spPr>
                          <wps:bodyPr upright="1"/>
                        </wps:wsp>
                        <wps:wsp>
                          <wps:cNvPr id="11" name="矩形 29"/>
                          <wps:cNvSpPr/>
                          <wps:spPr>
                            <a:xfrm>
                              <a:off x="5146" y="0"/>
                              <a:ext cx="1471"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cs="宋体"/>
                                    <w:sz w:val="13"/>
                                    <w:szCs w:val="13"/>
                                  </w:rPr>
                                  <w:t>仔细阅读产品说明书、投资者权益须知、风险揭示书，了解产品风险属性及特点。</w:t>
                                </w:r>
                              </w:p>
                            </w:txbxContent>
                          </wps:txbx>
                          <wps:bodyPr upright="1"/>
                        </wps:wsp>
                        <wps:wsp>
                          <wps:cNvPr id="12" name="自选图形 30"/>
                          <wps:cNvSpPr/>
                          <wps:spPr>
                            <a:xfrm>
                              <a:off x="4705" y="2040"/>
                              <a:ext cx="440" cy="257"/>
                            </a:xfrm>
                            <a:prstGeom prst="leftArrow">
                              <a:avLst>
                                <a:gd name="adj1" fmla="val 50000"/>
                                <a:gd name="adj2" fmla="val 42761"/>
                              </a:avLst>
                            </a:prstGeom>
                            <a:solidFill>
                              <a:srgbClr val="FFFFFF"/>
                            </a:solidFill>
                            <a:ln w="9525" cap="flat" cmpd="sng">
                              <a:solidFill>
                                <a:srgbClr val="000000"/>
                              </a:solidFill>
                              <a:prstDash val="solid"/>
                              <a:miter/>
                              <a:headEnd type="none" w="med" len="med"/>
                              <a:tailEnd type="none" w="med" len="med"/>
                            </a:ln>
                          </wps:spPr>
                          <wps:bodyPr upright="1"/>
                        </wps:wsp>
                        <wps:wsp>
                          <wps:cNvPr id="13" name="矩形 31"/>
                          <wps:cNvSpPr/>
                          <wps:spPr>
                            <a:xfrm>
                              <a:off x="5146" y="1785"/>
                              <a:ext cx="1470" cy="10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cs="宋体"/>
                                    <w:sz w:val="13"/>
                                    <w:szCs w:val="13"/>
                                  </w:rPr>
                                  <w:t>填写风险承受能力评级、抄录风险提示，签署理财协议等销售文件。</w:t>
                                </w:r>
                              </w:p>
                            </w:txbxContent>
                          </wps:txbx>
                          <wps:bodyPr upright="1"/>
                        </wps:wsp>
                        <wps:wsp>
                          <wps:cNvPr id="14" name="矩形 32"/>
                          <wps:cNvSpPr/>
                          <wps:spPr>
                            <a:xfrm>
                              <a:off x="3235" y="1785"/>
                              <a:ext cx="1469" cy="10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cs="宋体"/>
                                    <w:sz w:val="13"/>
                                    <w:szCs w:val="13"/>
                                  </w:rPr>
                                  <w:t>通过转账等方式支付投资款项，完成购买</w:t>
                                </w:r>
                              </w:p>
                            </w:txbxContent>
                          </wps:txbx>
                          <wps:bodyPr upright="1"/>
                        </wps:wsp>
                        <wps:wsp>
                          <wps:cNvPr id="15" name="矩形 33"/>
                          <wps:cNvSpPr/>
                          <wps:spPr>
                            <a:xfrm>
                              <a:off x="0" y="0"/>
                              <a:ext cx="589" cy="8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sz w:val="13"/>
                                    <w:szCs w:val="13"/>
                                  </w:rPr>
                                </w:pPr>
                              </w:p>
                              <w:p>
                                <w:pPr>
                                  <w:spacing w:line="160" w:lineRule="exact"/>
                                  <w:jc w:val="center"/>
                                  <w:rPr>
                                    <w:sz w:val="13"/>
                                    <w:szCs w:val="13"/>
                                  </w:rPr>
                                </w:pPr>
                                <w:r>
                                  <w:rPr>
                                    <w:rFonts w:hint="eastAsia" w:cs="宋体"/>
                                    <w:sz w:val="13"/>
                                    <w:szCs w:val="13"/>
                                  </w:rPr>
                                  <w:t>投资者</w:t>
                                </w:r>
                              </w:p>
                            </w:txbxContent>
                          </wps:txbx>
                          <wps:bodyPr upright="1"/>
                        </wps:wsp>
                        <wps:wsp>
                          <wps:cNvPr id="16" name="自选图形 34"/>
                          <wps:cNvSpPr/>
                          <wps:spPr>
                            <a:xfrm>
                              <a:off x="4705" y="255"/>
                              <a:ext cx="441" cy="256"/>
                            </a:xfrm>
                            <a:prstGeom prst="rightArrow">
                              <a:avLst>
                                <a:gd name="adj1" fmla="val 50000"/>
                                <a:gd name="adj2" fmla="val 43026"/>
                              </a:avLst>
                            </a:prstGeom>
                            <a:solidFill>
                              <a:srgbClr val="FFFFFF"/>
                            </a:solidFill>
                            <a:ln w="9525" cap="flat" cmpd="sng">
                              <a:solidFill>
                                <a:srgbClr val="000000"/>
                              </a:solidFill>
                              <a:prstDash val="solid"/>
                              <a:miter/>
                              <a:headEnd type="none" w="med" len="med"/>
                              <a:tailEnd type="none" w="med" len="med"/>
                            </a:ln>
                          </wps:spPr>
                          <wps:bodyPr upright="1"/>
                        </wps:wsp>
                      </wpg:grpSp>
                    </wpg:wgp>
                  </a:graphicData>
                </a:graphic>
              </wp:anchor>
            </w:drawing>
          </mc:Choice>
          <mc:Fallback>
            <w:pict>
              <v:group id="组合 1" o:spid="_x0000_s1026" o:spt="203" style="position:absolute;left:0pt;margin-left:0pt;margin-top:21.6pt;height:140.3pt;width:360.25pt;mso-wrap-distance-bottom:0pt;mso-wrap-distance-top:0pt;z-index:251661312;mso-width-relative:page;mso-height-relative:page;" coordsize="7205,2806" o:gfxdata="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D2zgPh2AAAAAcBAAAPAAAAAAAAAAEAIAAA&#10;ACIAAABkcnMvZG93bnJldi54bWxQSwECFAAUAAAACACHTuJA9389AbgEAADuJAAADgAAAAAAAAAB&#10;ACAAAAAnAQAAZHJzL2Uyb0RvYy54bWxQSwUGAAAAAAYABgBZAQAAUQgAAAAA&#10;">
                <o:lock v:ext="edit" aspectratio="f"/>
                <v:rect id="矩形 20" o:spid="_x0000_s1026" o:spt="1" style="position:absolute;left:0;top:0;height:2806;width:7205;"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rect>
                <v:group id="Group 4" o:spid="_x0000_s1026" o:spt="203" style="position:absolute;left:0;top:0;height:2806;width:6617;" coordsize="6617,280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自选图形 22" o:spid="_x0000_s1026" o:spt="13" type="#_x0000_t13" style="position:absolute;left:588;top:255;height:257;width:442;" fillcolor="#FFFFFF" filled="t" stroked="t" coordsize="21600,21600" o:gfxdata="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pNe8AAAA&#10;2gAAAA8AAAAAAAAAAQAgAAAAIgAAAGRycy9kb3ducmV2LnhtbFBLAQIUABQAAAAIAIdO4kAzLwWe&#10;OwAAADkAAAAQAAAAAAAAAAEAIAAAAAsBAABkcnMvc2hhcGV4bWwueG1sUEsFBgAAAAAGAAYAWwEA&#10;ALUDAAAAAA==&#10;" adj="16206,5400">
                    <v:fill on="t" focussize="0,0"/>
                    <v:stroke color="#000000" joinstyle="miter"/>
                    <v:imagedata o:title=""/>
                    <o:lock v:ext="edit" aspectratio="f"/>
                  </v:shape>
                  <v:rect id="矩形 23" o:spid="_x0000_s1026" o:spt="1" style="position:absolute;left:1029;top:0;height:1019;width:588;"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160" w:lineRule="exact"/>
                            <w:rPr>
                              <w:sz w:val="13"/>
                              <w:szCs w:val="13"/>
                            </w:rPr>
                          </w:pPr>
                          <w:r>
                            <w:rPr>
                              <w:rFonts w:hint="eastAsia" w:cs="宋体"/>
                              <w:sz w:val="13"/>
                              <w:szCs w:val="13"/>
                            </w:rPr>
                            <w:t>银行营业网点柜面</w:t>
                          </w:r>
                        </w:p>
                      </w:txbxContent>
                    </v:textbox>
                  </v:rect>
                  <v:shape id="自选图形 24" o:spid="_x0000_s1026" o:spt="13" type="#_x0000_t13" style="position:absolute;left:1617;top:255;height:257;width:442;" fillcolor="#FFFFFF" filled="t" stroked="t" coordsize="21600,21600" o:gfxdata="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hnzu8AAAA&#10;2gAAAA8AAAAAAAAAAQAgAAAAIgAAAGRycy9kb3ducmV2LnhtbFBLAQIUABQAAAAIAIdO4kAzLwWe&#10;OwAAADkAAAAQAAAAAAAAAAEAIAAAAAsBAABkcnMvc2hhcGV4bWwueG1sUEsFBgAAAAAGAAYAWwEA&#10;ALUDAAAAAA==&#10;" adj="16206,5400">
                    <v:fill on="t" focussize="0,0"/>
                    <v:stroke color="#000000" joinstyle="miter"/>
                    <v:imagedata o:title=""/>
                    <o:lock v:ext="edit" aspectratio="f"/>
                  </v:shape>
                  <v:rect id="矩形 25" o:spid="_x0000_s1026" o:spt="1" style="position:absolute;left:2059;top:0;height:1019;width:1028;"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160" w:lineRule="exact"/>
                            <w:rPr>
                              <w:sz w:val="13"/>
                              <w:szCs w:val="13"/>
                            </w:rPr>
                          </w:pPr>
                          <w:r>
                            <w:rPr>
                              <w:rFonts w:hint="eastAsia" w:cs="宋体"/>
                              <w:sz w:val="13"/>
                              <w:szCs w:val="13"/>
                            </w:rPr>
                            <w:t>在银行员工指点下，进行风险承受能力测评（首次）</w:t>
                          </w:r>
                        </w:p>
                      </w:txbxContent>
                    </v:textbox>
                  </v:rect>
                  <v:shape id="自选图形 26" o:spid="_x0000_s1026" o:spt="13" type="#_x0000_t13" style="position:absolute;left:3088;top:255;height:257;width:441;" fillcolor="#FFFFFF" filled="t" stroked="t" coordsize="21600,21600" o:gfxdata="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JXC7w2zAAAA2gAAAA8AAAAA&#10;AAAAAQAgAAAAIgAAAGRycy9kb3ducmV2LnhtbFBLAQIUABQAAAAIAIdO4kAzLwWeOwAAADkAAAAQ&#10;AAAAAAAAAAEAIAAAAAIBAABkcnMvc2hhcGV4bWwueG1sUEsFBgAAAAAGAAYAWwEAAKwDAAAAAA==&#10;" adj="16207,5400">
                    <v:fill on="t" focussize="0,0"/>
                    <v:stroke color="#000000" joinstyle="miter"/>
                    <v:imagedata o:title=""/>
                    <o:lock v:ext="edit" aspectratio="f"/>
                  </v:shape>
                  <v:rect id="矩形 27" o:spid="_x0000_s1026" o:spt="1" style="position:absolute;left:3529;top:0;height:1019;width:117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160" w:lineRule="exact"/>
                            <w:rPr>
                              <w:sz w:val="13"/>
                              <w:szCs w:val="13"/>
                            </w:rPr>
                          </w:pPr>
                          <w:r>
                            <w:rPr>
                              <w:rFonts w:hint="eastAsia" w:cs="宋体"/>
                              <w:sz w:val="13"/>
                              <w:szCs w:val="13"/>
                            </w:rPr>
                            <w:t>结合自己的风险承受能力和产品属性，选择合适的产品</w:t>
                          </w:r>
                        </w:p>
                      </w:txbxContent>
                    </v:textbox>
                  </v:rect>
                  <v:shape id="自选图形 28" o:spid="_x0000_s1026" o:spt="67" type="#_x0000_t67" style="position:absolute;left:5881;top:1019;height:766;width:148;" fillcolor="#FFFFFF" filled="t" stroked="t" coordsize="21600,21600" o:gfxdata="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r3L4A&#10;AADbAAAADwAAAAAAAAABACAAAAAiAAAAZHJzL2Rvd25yZXYueG1sUEsBAhQAFAAAAAgAh07iQDMv&#10;BZ47AAAAOQAAABAAAAAAAAAAAQAgAAAADQEAAGRycy9zaGFwZXhtbC54bWxQSwUGAAAAAAYABgBb&#10;AQAAtwMAAAAA&#10;" adj="16206,5400">
                    <v:fill on="t" focussize="0,0"/>
                    <v:stroke color="#000000" joinstyle="miter"/>
                    <v:imagedata o:title=""/>
                    <o:lock v:ext="edit" aspectratio="f"/>
                  </v:shape>
                  <v:rect id="矩形 29" o:spid="_x0000_s1026" o:spt="1" style="position:absolute;left:5146;top:0;height:1019;width:1471;"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160" w:lineRule="exact"/>
                            <w:rPr>
                              <w:sz w:val="13"/>
                              <w:szCs w:val="13"/>
                            </w:rPr>
                          </w:pPr>
                          <w:r>
                            <w:rPr>
                              <w:rFonts w:hint="eastAsia" w:cs="宋体"/>
                              <w:sz w:val="13"/>
                              <w:szCs w:val="13"/>
                            </w:rPr>
                            <w:t>仔细阅读产品说明书、投资者权益须知、风险揭示书，了解产品风险属性及特点。</w:t>
                          </w:r>
                        </w:p>
                      </w:txbxContent>
                    </v:textbox>
                  </v:rect>
                  <v:shape id="自选图形 30" o:spid="_x0000_s1026" o:spt="66" type="#_x0000_t66" style="position:absolute;left:4705;top:2040;height:257;width:440;" fillcolor="#FFFFFF" filled="t" stroked="t" coordsize="21600,21600" o:gfxdata="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JyvQAA&#10;ANsAAAAPAAAAAAAAAAEAIAAAACIAAABkcnMvZG93bnJldi54bWxQSwECFAAUAAAACACHTuJAMy8F&#10;njsAAAA5AAAAEAAAAAAAAAABACAAAAAMAQAAZHJzL3NoYXBleG1sLnhtbFBLBQYAAAAABgAGAFsB&#10;AAC2AwAAAAA=&#10;" adj="5394,5400">
                    <v:fill on="t" focussize="0,0"/>
                    <v:stroke color="#000000" joinstyle="miter"/>
                    <v:imagedata o:title=""/>
                    <o:lock v:ext="edit" aspectratio="f"/>
                  </v:shape>
                  <v:rect id="矩形 31" o:spid="_x0000_s1026" o:spt="1" style="position:absolute;left:5146;top:1785;height:1021;width:1470;"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160" w:lineRule="exact"/>
                            <w:rPr>
                              <w:sz w:val="13"/>
                              <w:szCs w:val="13"/>
                            </w:rPr>
                          </w:pPr>
                          <w:r>
                            <w:rPr>
                              <w:rFonts w:hint="eastAsia" w:cs="宋体"/>
                              <w:sz w:val="13"/>
                              <w:szCs w:val="13"/>
                            </w:rPr>
                            <w:t>填写风险承受能力评级、抄录风险提示，签署理财协议等销售文件。</w:t>
                          </w:r>
                        </w:p>
                      </w:txbxContent>
                    </v:textbox>
                  </v:rect>
                  <v:rect id="矩形 32" o:spid="_x0000_s1026" o:spt="1" style="position:absolute;left:3235;top:1785;height:1021;width:1469;"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160" w:lineRule="exact"/>
                            <w:rPr>
                              <w:sz w:val="13"/>
                              <w:szCs w:val="13"/>
                            </w:rPr>
                          </w:pPr>
                          <w:r>
                            <w:rPr>
                              <w:rFonts w:hint="eastAsia" w:cs="宋体"/>
                              <w:sz w:val="13"/>
                              <w:szCs w:val="13"/>
                            </w:rPr>
                            <w:t>通过转账等方式支付投资款项，完成购买</w:t>
                          </w:r>
                        </w:p>
                      </w:txbxContent>
                    </v:textbox>
                  </v:rect>
                  <v:rect id="矩形 33" o:spid="_x0000_s1026" o:spt="1" style="position:absolute;left:0;top:0;height:897;width:589;"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160" w:lineRule="exact"/>
                            <w:jc w:val="center"/>
                            <w:rPr>
                              <w:sz w:val="13"/>
                              <w:szCs w:val="13"/>
                            </w:rPr>
                          </w:pPr>
                        </w:p>
                        <w:p>
                          <w:pPr>
                            <w:spacing w:line="160" w:lineRule="exact"/>
                            <w:jc w:val="center"/>
                            <w:rPr>
                              <w:sz w:val="13"/>
                              <w:szCs w:val="13"/>
                            </w:rPr>
                          </w:pPr>
                          <w:r>
                            <w:rPr>
                              <w:rFonts w:hint="eastAsia" w:cs="宋体"/>
                              <w:sz w:val="13"/>
                              <w:szCs w:val="13"/>
                            </w:rPr>
                            <w:t>投资者</w:t>
                          </w:r>
                        </w:p>
                      </w:txbxContent>
                    </v:textbox>
                  </v:rect>
                  <v:shape id="自选图形 34" o:spid="_x0000_s1026" o:spt="13" type="#_x0000_t13" style="position:absolute;left:4705;top:255;height:256;width:441;" fillcolor="#FFFFFF" filled="t" stroked="t" coordsize="21600,21600" o:gfxdata="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5kjGLsAAADb&#10;AAAADwAAAAAAAAABACAAAAAiAAAAZHJzL2Rvd25yZXYueG1sUEsBAhQAFAAAAAgAh07iQDMvBZ47&#10;AAAAOQAAABAAAAAAAAAAAQAgAAAACgEAAGRycy9zaGFwZXhtbC54bWxQSwUGAAAAAAYABgBbAQAA&#10;tAMAAAAA&#10;" adj="16206,5400">
                    <v:fill on="t" focussize="0,0"/>
                    <v:stroke color="#000000" joinstyle="miter"/>
                    <v:imagedata o:title=""/>
                    <o:lock v:ext="edit" aspectratio="f"/>
                  </v:shape>
                </v:group>
                <w10:wrap type="topAndBottom"/>
              </v:group>
            </w:pict>
          </mc:Fallback>
        </mc:AlternateContent>
      </w:r>
      <w:r>
        <w:rPr>
          <w:rFonts w:hint="eastAsia" w:ascii="宋体" w:hAnsi="宋体"/>
          <w:sz w:val="18"/>
          <w:szCs w:val="18"/>
          <w:highlight w:val="none"/>
        </w:rPr>
        <w:t>（一）投资者持购买理财产品所需材料至理财产品销售银行各营业网点办理。具体流程如下：</w:t>
      </w:r>
    </w:p>
    <w:p>
      <w:pPr>
        <w:rPr>
          <w:rFonts w:ascii="宋体" w:hAnsi="宋体"/>
          <w:sz w:val="18"/>
          <w:szCs w:val="18"/>
          <w:highlight w:val="none"/>
        </w:rPr>
      </w:pPr>
    </w:p>
    <w:p>
      <w:pPr>
        <w:rPr>
          <w:rFonts w:ascii="宋体" w:hAnsi="宋体"/>
          <w:sz w:val="18"/>
          <w:szCs w:val="18"/>
          <w:highlight w:val="none"/>
        </w:rPr>
      </w:pPr>
      <w:r>
        <w:rPr>
          <w:rFonts w:hint="eastAsia" w:ascii="宋体" w:hAnsi="宋体"/>
          <w:sz w:val="18"/>
          <w:szCs w:val="18"/>
          <w:highlight w:val="none"/>
        </w:rPr>
        <w:t>(二) 如投资者选择在理财产品销售银行的网上银行、手机银行、VTM等电子渠道购买理财产品，投资者需通过理财产品销售银行相关电子渠道仔细阅读理财产品合同，根据购买流程逐项点击确认进行购买。</w:t>
      </w:r>
    </w:p>
    <w:p>
      <w:pPr>
        <w:rPr>
          <w:rFonts w:ascii="宋体" w:hAnsi="宋体"/>
          <w:b/>
          <w:bCs/>
          <w:sz w:val="18"/>
          <w:szCs w:val="18"/>
          <w:highlight w:val="none"/>
        </w:rPr>
      </w:pPr>
      <w:r>
        <w:rPr>
          <w:rFonts w:hint="eastAsia" w:ascii="宋体" w:hAnsi="宋体"/>
          <w:b/>
          <w:bCs/>
          <w:sz w:val="18"/>
          <w:szCs w:val="18"/>
          <w:highlight w:val="none"/>
        </w:rPr>
        <w:t>二、投资者风险承受能力评估及产品风险评级说明</w:t>
      </w:r>
    </w:p>
    <w:p>
      <w:pPr>
        <w:rPr>
          <w:rFonts w:ascii="宋体" w:hAnsi="宋体"/>
          <w:sz w:val="18"/>
          <w:szCs w:val="18"/>
          <w:highlight w:val="none"/>
        </w:rPr>
      </w:pPr>
      <w:r>
        <w:rPr>
          <w:rFonts w:hint="eastAsia" w:ascii="宋体" w:hAnsi="宋体"/>
          <w:sz w:val="18"/>
          <w:szCs w:val="18"/>
          <w:highlight w:val="none"/>
        </w:rPr>
        <w:t>（一）投资者首次购买理财产品的，须进行风险承受能力评估，首次风险承受能力评估须在理财产品销售银行各营业网点进行；</w:t>
      </w:r>
    </w:p>
    <w:p>
      <w:pPr>
        <w:rPr>
          <w:rFonts w:ascii="宋体" w:hAnsi="宋体"/>
          <w:sz w:val="18"/>
          <w:szCs w:val="18"/>
          <w:highlight w:val="none"/>
        </w:rPr>
      </w:pPr>
      <w:r>
        <w:rPr>
          <w:rFonts w:hint="eastAsia" w:ascii="宋体" w:hAnsi="宋体"/>
          <w:sz w:val="18"/>
          <w:szCs w:val="18"/>
          <w:highlight w:val="none"/>
        </w:rPr>
        <w:t>（二）超过一年未进行风险承受能力评估，再次购买理财产品须在理财产品销售银行各营业网点或者通过理财产品销售银行网上银行完成风险承受能力评估。</w:t>
      </w:r>
    </w:p>
    <w:p>
      <w:pPr>
        <w:rPr>
          <w:highlight w:val="none"/>
        </w:rPr>
      </w:pPr>
      <w:r>
        <w:rPr>
          <w:rFonts w:hint="eastAsia" w:ascii="宋体" w:hAnsi="宋体"/>
          <w:sz w:val="18"/>
          <w:szCs w:val="18"/>
          <w:highlight w:val="none"/>
        </w:rPr>
        <w:t>（三）常熟农商银行根据产品风险收益特点等将理财产品风险评级分为一至五级五个等级，根据投资者风险承受能力评估评分将投资者分为保守型（一级）、谨慎型（二级）、稳健型（三级）、进取型（四级）、积极进取型（五级）五个等级（所对应的投资风险承受程度详见下表）。按照监管要求，投资者风险等级评级不低于产品风险评级时，方可购买该理财产品。</w:t>
      </w:r>
    </w:p>
    <w:p>
      <w:pPr>
        <w:rPr>
          <w:highlight w:val="none"/>
        </w:rPr>
      </w:pPr>
    </w:p>
    <w:p>
      <w:pPr>
        <w:rPr>
          <w:sz w:val="18"/>
          <w:szCs w:val="18"/>
          <w:highlight w:val="none"/>
        </w:rPr>
      </w:pPr>
      <w:r>
        <w:rPr>
          <w:rFonts w:hint="eastAsia"/>
          <w:sz w:val="18"/>
          <w:szCs w:val="18"/>
          <w:highlight w:val="none"/>
        </w:rPr>
        <w:t>产品风险评级及投资者风险承受能力等级说明：</w:t>
      </w:r>
    </w:p>
    <w:tbl>
      <w:tblPr>
        <w:tblStyle w:val="12"/>
        <w:tblW w:w="9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4"/>
        <w:gridCol w:w="885"/>
        <w:gridCol w:w="3375"/>
        <w:gridCol w:w="3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1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风险标识</w:t>
            </w:r>
            <w:r>
              <w:rPr>
                <w:rFonts w:hint="eastAsia" w:ascii="仿宋_GB2312" w:hAnsi="...." w:eastAsia="仿宋_GB2312"/>
                <w:vanish/>
                <w:sz w:val="22"/>
                <w:szCs w:val="18"/>
                <w:highlight w:val="none"/>
              </w:rPr>
              <w:t>体情况风险品合同。若本产品说明书</w:t>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p>
        </w:tc>
        <w:tc>
          <w:tcPr>
            <w:tcW w:w="8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风险评级</w:t>
            </w:r>
          </w:p>
        </w:tc>
        <w:tc>
          <w:tcPr>
            <w:tcW w:w="33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评级说明</w:t>
            </w:r>
          </w:p>
        </w:tc>
        <w:tc>
          <w:tcPr>
            <w:tcW w:w="37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highlight w:val="none"/>
              </w:rPr>
            </w:pPr>
            <w:r>
              <w:rPr>
                <w:rFonts w:hint="eastAsia" w:ascii="宋体" w:hAnsi="宋体"/>
                <w:sz w:val="18"/>
                <w:szCs w:val="18"/>
                <w:highlight w:val="none"/>
              </w:rPr>
              <w:t>适用投资者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112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w:t>
            </w: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一级</w:t>
            </w:r>
          </w:p>
        </w:tc>
        <w:tc>
          <w:tcPr>
            <w:tcW w:w="3375"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60" w:firstLineChars="200"/>
              <w:rPr>
                <w:rFonts w:ascii="宋体" w:hAnsi="宋体"/>
                <w:sz w:val="18"/>
                <w:szCs w:val="18"/>
                <w:highlight w:val="none"/>
              </w:rPr>
            </w:pPr>
            <w:r>
              <w:rPr>
                <w:rFonts w:hint="eastAsia" w:ascii="宋体" w:hAnsi="宋体" w:cs="宋体"/>
                <w:sz w:val="18"/>
                <w:szCs w:val="18"/>
                <w:highlight w:val="none"/>
              </w:rPr>
              <w:t>理财产品总体风险程度低，产品净值波动小，收益不能实现的概率小，本金出现损失的可能性小</w:t>
            </w:r>
            <w:r>
              <w:rPr>
                <w:rFonts w:hint="eastAsia" w:ascii="宋体" w:hAnsi="宋体" w:cs="宋体"/>
                <w:sz w:val="18"/>
                <w:szCs w:val="18"/>
                <w:highlight w:val="none"/>
                <w:lang w:eastAsia="zh-CN"/>
              </w:rPr>
              <w:t>；</w:t>
            </w:r>
            <w:r>
              <w:rPr>
                <w:rFonts w:hint="eastAsia" w:ascii="宋体" w:hAnsi="宋体" w:cs="宋体"/>
                <w:sz w:val="18"/>
                <w:szCs w:val="18"/>
                <w:highlight w:val="none"/>
              </w:rPr>
              <w:t>或承诺本金保障且产品收益不确定性较小的结构性存款产品。</w:t>
            </w:r>
          </w:p>
        </w:tc>
        <w:tc>
          <w:tcPr>
            <w:tcW w:w="3775" w:type="dxa"/>
            <w:tcBorders>
              <w:top w:val="nil"/>
              <w:left w:val="nil"/>
              <w:bottom w:val="single" w:color="auto" w:sz="4" w:space="0"/>
              <w:right w:val="single" w:color="auto" w:sz="4" w:space="0"/>
            </w:tcBorders>
            <w:vAlign w:val="center"/>
          </w:tcPr>
          <w:p>
            <w:pPr>
              <w:ind w:firstLine="360" w:firstLineChars="200"/>
              <w:rPr>
                <w:rFonts w:ascii="宋体" w:hAnsi="宋体"/>
                <w:sz w:val="18"/>
                <w:szCs w:val="18"/>
                <w:highlight w:val="none"/>
              </w:rPr>
            </w:pPr>
            <w:r>
              <w:rPr>
                <w:rFonts w:hint="eastAsia" w:ascii="宋体" w:hAnsi="宋体"/>
                <w:sz w:val="18"/>
                <w:szCs w:val="18"/>
                <w:highlight w:val="none"/>
              </w:rPr>
              <w:t>风险承受能力一至五级投资者，即保守型的有投资经验和无投资经验的投资者、谨慎型的有投资经验和无投资经验的投资者、稳健型的有投资经验的投资者、进取型的有投资经验的投资者、积极进取型的有投资经验的投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112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w:t>
            </w: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二级</w:t>
            </w:r>
          </w:p>
        </w:tc>
        <w:tc>
          <w:tcPr>
            <w:tcW w:w="3375"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60" w:firstLineChars="200"/>
              <w:rPr>
                <w:rFonts w:ascii="宋体" w:hAnsi="宋体"/>
                <w:sz w:val="18"/>
                <w:szCs w:val="18"/>
                <w:highlight w:val="none"/>
              </w:rPr>
            </w:pPr>
            <w:r>
              <w:rPr>
                <w:rFonts w:hint="eastAsia" w:ascii="宋体" w:hAnsi="宋体" w:cs="宋体"/>
                <w:sz w:val="18"/>
                <w:szCs w:val="18"/>
                <w:highlight w:val="none"/>
              </w:rPr>
              <w:t>理财产品总体风险程度较低，产品净值波动较小，收益不能实现的概率较小，本金出现损失可能性较小；或承诺本金保障但产品收益具有较大不确定性的结构性存款产品。</w:t>
            </w:r>
          </w:p>
        </w:tc>
        <w:tc>
          <w:tcPr>
            <w:tcW w:w="3775" w:type="dxa"/>
            <w:tcBorders>
              <w:top w:val="nil"/>
              <w:left w:val="nil"/>
              <w:bottom w:val="single" w:color="auto" w:sz="4" w:space="0"/>
              <w:right w:val="single" w:color="auto" w:sz="4" w:space="0"/>
            </w:tcBorders>
            <w:vAlign w:val="center"/>
          </w:tcPr>
          <w:p>
            <w:pPr>
              <w:ind w:firstLine="360" w:firstLineChars="200"/>
              <w:rPr>
                <w:rFonts w:ascii="宋体" w:hAnsi="宋体"/>
                <w:sz w:val="18"/>
                <w:szCs w:val="18"/>
                <w:highlight w:val="none"/>
              </w:rPr>
            </w:pPr>
            <w:r>
              <w:rPr>
                <w:rFonts w:hint="eastAsia" w:ascii="宋体" w:hAnsi="宋体"/>
                <w:sz w:val="18"/>
                <w:szCs w:val="18"/>
                <w:highlight w:val="none"/>
              </w:rPr>
              <w:t>风险承受能力二至五级投资者，即谨慎型的有投资经验和无投资经验的投资者、稳健型的有投资经验的投资者、进取型的有投资经验的投资者、积极进取型的有投资经验的投资者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112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w:t>
            </w: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三级</w:t>
            </w:r>
          </w:p>
        </w:tc>
        <w:tc>
          <w:tcPr>
            <w:tcW w:w="3375"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8"/>
              <w:widowControl/>
              <w:spacing w:before="0" w:beforeAutospacing="0" w:after="0" w:afterAutospacing="0" w:line="240" w:lineRule="auto"/>
              <w:ind w:firstLine="360" w:firstLineChars="200"/>
              <w:jc w:val="both"/>
              <w:rPr>
                <w:rFonts w:ascii="宋体" w:hAnsi="宋体"/>
                <w:b/>
                <w:sz w:val="18"/>
                <w:szCs w:val="18"/>
                <w:highlight w:val="none"/>
              </w:rPr>
            </w:pPr>
            <w:r>
              <w:rPr>
                <w:rFonts w:hint="eastAsia" w:ascii="宋体" w:hAnsi="宋体" w:cs="宋体"/>
                <w:kern w:val="2"/>
                <w:sz w:val="18"/>
                <w:szCs w:val="18"/>
                <w:highlight w:val="none"/>
              </w:rPr>
              <w:t>理财产品总体风险程度适中，产品净值波动不容忽视，产品本金和收益出现损失不能兑付的可能性不容忽视。</w:t>
            </w:r>
          </w:p>
        </w:tc>
        <w:tc>
          <w:tcPr>
            <w:tcW w:w="3775" w:type="dxa"/>
            <w:tcBorders>
              <w:top w:val="nil"/>
              <w:left w:val="nil"/>
              <w:bottom w:val="single" w:color="auto" w:sz="4" w:space="0"/>
              <w:right w:val="single" w:color="auto" w:sz="4" w:space="0"/>
            </w:tcBorders>
            <w:vAlign w:val="center"/>
          </w:tcPr>
          <w:p>
            <w:pPr>
              <w:ind w:firstLine="360" w:firstLineChars="200"/>
              <w:rPr>
                <w:rFonts w:ascii="宋体" w:hAnsi="宋体"/>
                <w:sz w:val="18"/>
                <w:szCs w:val="18"/>
                <w:highlight w:val="none"/>
              </w:rPr>
            </w:pPr>
            <w:r>
              <w:rPr>
                <w:rFonts w:hint="eastAsia" w:ascii="宋体" w:hAnsi="宋体"/>
                <w:sz w:val="18"/>
                <w:szCs w:val="18"/>
                <w:highlight w:val="none"/>
              </w:rPr>
              <w:t>风险承受能力三至五级投资者，即稳健型的有投资经验的投资者、进取型的有投资经验的投资者、积极进取型的有投资经验的投资者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8" w:hRule="atLeast"/>
        </w:trPr>
        <w:tc>
          <w:tcPr>
            <w:tcW w:w="112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w:t>
            </w: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四级</w:t>
            </w:r>
          </w:p>
        </w:tc>
        <w:tc>
          <w:tcPr>
            <w:tcW w:w="3375"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8"/>
              <w:widowControl/>
              <w:spacing w:before="0" w:beforeAutospacing="0" w:after="0" w:afterAutospacing="0" w:line="240" w:lineRule="auto"/>
              <w:ind w:firstLine="360" w:firstLineChars="200"/>
              <w:jc w:val="both"/>
              <w:rPr>
                <w:rFonts w:ascii="宋体" w:hAnsi="宋体"/>
                <w:b/>
                <w:sz w:val="18"/>
                <w:szCs w:val="18"/>
                <w:highlight w:val="none"/>
              </w:rPr>
            </w:pPr>
            <w:r>
              <w:rPr>
                <w:rFonts w:hint="eastAsia" w:ascii="宋体" w:hAnsi="宋体" w:cs="宋体"/>
                <w:kern w:val="2"/>
                <w:sz w:val="18"/>
                <w:szCs w:val="18"/>
                <w:highlight w:val="none"/>
              </w:rPr>
              <w:t>理财产品总体风险程度较高，产品净值波动明显，产品本金出现损失的可能性较高。</w:t>
            </w:r>
          </w:p>
        </w:tc>
        <w:tc>
          <w:tcPr>
            <w:tcW w:w="3775" w:type="dxa"/>
            <w:tcBorders>
              <w:top w:val="nil"/>
              <w:left w:val="nil"/>
              <w:bottom w:val="single" w:color="auto" w:sz="4" w:space="0"/>
              <w:right w:val="single" w:color="auto" w:sz="4" w:space="0"/>
            </w:tcBorders>
            <w:vAlign w:val="center"/>
          </w:tcPr>
          <w:p>
            <w:pPr>
              <w:ind w:firstLine="360" w:firstLineChars="200"/>
              <w:rPr>
                <w:rFonts w:ascii="宋体" w:hAnsi="宋体"/>
                <w:sz w:val="18"/>
                <w:szCs w:val="18"/>
                <w:highlight w:val="none"/>
              </w:rPr>
            </w:pPr>
            <w:r>
              <w:rPr>
                <w:rFonts w:hint="eastAsia" w:ascii="宋体" w:hAnsi="宋体"/>
                <w:sz w:val="18"/>
                <w:szCs w:val="18"/>
                <w:highlight w:val="none"/>
              </w:rPr>
              <w:t>风险承受能力四至五级投资者，即进取型的有投资经验的投资者、积极进取型的有投资经验的投资者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112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w:t>
            </w:r>
          </w:p>
        </w:tc>
        <w:tc>
          <w:tcPr>
            <w:tcW w:w="8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五级</w:t>
            </w:r>
          </w:p>
        </w:tc>
        <w:tc>
          <w:tcPr>
            <w:tcW w:w="3375"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60" w:firstLineChars="200"/>
              <w:rPr>
                <w:rFonts w:ascii="宋体" w:hAnsi="宋体"/>
                <w:sz w:val="18"/>
                <w:szCs w:val="18"/>
                <w:highlight w:val="none"/>
              </w:rPr>
            </w:pPr>
            <w:r>
              <w:rPr>
                <w:rFonts w:hint="eastAsia" w:ascii="宋体" w:hAnsi="宋体" w:cs="宋体"/>
                <w:sz w:val="18"/>
                <w:szCs w:val="18"/>
                <w:highlight w:val="none"/>
              </w:rPr>
              <w:t>理财产品总体风险程度高，产品净值波动明显，产品本金出现损失的可能性高。</w:t>
            </w:r>
          </w:p>
        </w:tc>
        <w:tc>
          <w:tcPr>
            <w:tcW w:w="3775" w:type="dxa"/>
            <w:tcBorders>
              <w:top w:val="nil"/>
              <w:left w:val="nil"/>
              <w:bottom w:val="single" w:color="auto" w:sz="4" w:space="0"/>
              <w:right w:val="single" w:color="auto" w:sz="4" w:space="0"/>
            </w:tcBorders>
            <w:vAlign w:val="center"/>
          </w:tcPr>
          <w:p>
            <w:pPr>
              <w:ind w:firstLine="360" w:firstLineChars="200"/>
              <w:rPr>
                <w:rFonts w:ascii="宋体" w:hAnsi="宋体"/>
                <w:sz w:val="18"/>
                <w:szCs w:val="18"/>
                <w:highlight w:val="none"/>
              </w:rPr>
            </w:pPr>
            <w:r>
              <w:rPr>
                <w:rFonts w:hint="eastAsia" w:ascii="宋体" w:hAnsi="宋体"/>
                <w:sz w:val="18"/>
                <w:szCs w:val="18"/>
                <w:highlight w:val="none"/>
              </w:rPr>
              <w:t>风险承受能力五级投资者，即积极进取型的有投资经验的投资者</w:t>
            </w:r>
          </w:p>
        </w:tc>
      </w:tr>
    </w:tbl>
    <w:p>
      <w:pPr>
        <w:rPr>
          <w:rFonts w:ascii="宋体" w:hAnsi="宋体"/>
          <w:b/>
          <w:sz w:val="18"/>
          <w:szCs w:val="18"/>
          <w:highlight w:val="none"/>
        </w:rPr>
      </w:pPr>
    </w:p>
    <w:p>
      <w:pPr>
        <w:rPr>
          <w:rFonts w:ascii="宋体" w:hAnsi="宋体"/>
          <w:b/>
          <w:sz w:val="18"/>
          <w:szCs w:val="18"/>
          <w:highlight w:val="none"/>
        </w:rPr>
      </w:pPr>
      <w:r>
        <w:rPr>
          <w:rFonts w:hint="eastAsia" w:ascii="宋体" w:hAnsi="宋体"/>
          <w:b/>
          <w:sz w:val="18"/>
          <w:szCs w:val="18"/>
          <w:highlight w:val="none"/>
        </w:rPr>
        <w:t>三、信息披露</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1、产品管理人将按照本理财产品产品说明书的约定，进行信息披露。</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产品管理人在有关披露事项的报告或通知制作完毕后，</w:t>
      </w:r>
      <w:r>
        <w:rPr>
          <w:rFonts w:hint="eastAsia" w:ascii="宋体" w:hAnsi="宋体" w:cs="宋体"/>
          <w:b/>
          <w:bCs/>
          <w:kern w:val="0"/>
          <w:sz w:val="18"/>
          <w:szCs w:val="18"/>
          <w:highlight w:val="none"/>
        </w:rPr>
        <w:t>可视情况选择以下一种或多种方式报告给投资者</w:t>
      </w:r>
      <w:r>
        <w:rPr>
          <w:rFonts w:hint="eastAsia" w:ascii="宋体" w:hAnsi="宋体" w:cs="宋体"/>
          <w:kern w:val="0"/>
          <w:sz w:val="18"/>
          <w:szCs w:val="18"/>
          <w:highlight w:val="none"/>
        </w:rPr>
        <w:t>：产品管理人</w:t>
      </w:r>
      <w:r>
        <w:rPr>
          <w:rFonts w:hint="eastAsia" w:ascii="宋体" w:hAnsi="宋体" w:cs="宋体"/>
          <w:b/>
          <w:bCs/>
          <w:kern w:val="0"/>
          <w:sz w:val="18"/>
          <w:szCs w:val="18"/>
          <w:highlight w:val="none"/>
        </w:rPr>
        <w:t>官方网站（www.csrcbank.com）、营业网点、手机银行、网上银行、电子邮件、电话、以信函形式邮寄、手机短信等。</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2、</w:t>
      </w:r>
      <w:r>
        <w:rPr>
          <w:rFonts w:hint="eastAsia" w:ascii="宋体" w:hAnsi="宋体" w:cs="宋体"/>
          <w:b/>
          <w:bCs/>
          <w:kern w:val="0"/>
          <w:sz w:val="18"/>
          <w:szCs w:val="18"/>
          <w:highlight w:val="none"/>
        </w:rPr>
        <w:t>投资者同意产品管理人通过上述方式进行本产品的信息披露，投资者应保持联系方式通畅，及时查询产品信息披露情况。</w:t>
      </w:r>
    </w:p>
    <w:p>
      <w:pPr>
        <w:snapToGrid w:val="0"/>
        <w:spacing w:line="360" w:lineRule="exact"/>
        <w:ind w:firstLine="360" w:firstLineChars="200"/>
        <w:rPr>
          <w:rFonts w:ascii="宋体" w:hAnsi="宋体" w:cs="宋体"/>
          <w:kern w:val="0"/>
          <w:sz w:val="18"/>
          <w:szCs w:val="18"/>
          <w:highlight w:val="none"/>
        </w:rPr>
      </w:pPr>
      <w:r>
        <w:rPr>
          <w:rFonts w:hint="eastAsia" w:ascii="宋体" w:hAnsi="宋体" w:cs="宋体"/>
          <w:kern w:val="0"/>
          <w:sz w:val="18"/>
          <w:szCs w:val="18"/>
          <w:highlight w:val="none"/>
        </w:rPr>
        <w:t>3、产品运作期间，金融市场发生重大变化导致理财产品投资比例暂时超出浮动区间且可能对理财产品收益产生重大影响的，管理人将及时向投资者进行信息披露。</w:t>
      </w:r>
    </w:p>
    <w:p>
      <w:pPr>
        <w:snapToGrid w:val="0"/>
        <w:spacing w:line="360" w:lineRule="exact"/>
        <w:ind w:firstLine="361" w:firstLineChars="200"/>
        <w:rPr>
          <w:rFonts w:ascii="楷体_GB2312" w:eastAsia="楷体_GB2312"/>
          <w:b/>
          <w:szCs w:val="21"/>
          <w:highlight w:val="none"/>
        </w:rPr>
      </w:pPr>
      <w:r>
        <w:rPr>
          <w:rFonts w:hint="eastAsia" w:ascii="宋体" w:hAnsi="宋体" w:cs="宋体"/>
          <w:b/>
          <w:bCs/>
          <w:kern w:val="0"/>
          <w:sz w:val="18"/>
          <w:szCs w:val="18"/>
          <w:highlight w:val="none"/>
        </w:rPr>
        <w:t>管理人将根据市场情况调整投资范围、投资资产种类或投资比例，并按照有关规定事先进行信息披露。超出销售文件约定比例的，除高风险类型的理财产品超出比例范围投资较低风险资产外，应当先取得投资者书面同意；投资者对相关调整不接受的，可按照管理人公告说明办理全额赎回。</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4、</w:t>
      </w:r>
      <w:r>
        <w:rPr>
          <w:rFonts w:hint="eastAsia" w:ascii="宋体" w:hAnsi="宋体" w:cs="宋体"/>
          <w:b/>
          <w:bCs/>
          <w:kern w:val="0"/>
          <w:sz w:val="18"/>
          <w:szCs w:val="18"/>
          <w:highlight w:val="none"/>
        </w:rPr>
        <w:t>产品运作期间，常熟农商银行根据相关法律和国家政策规定，需要对已约定的收费项目、条件、标准和方式进行调整时，应当按照有关规定进行信息披露后方可调整；投资者不接受的，可按照管理人公告说明办理全额赎回。</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5、产品存续期内，如出于维持产品正常运营的需要且在不损害投资者利益的前提下，或因国家法律法规、监管规定发生变化，产品管理人有权单方对本理财产品产品说明书进行修订。产品管理人决定对产品说明书进行修订的，将提前两个工作日通过官网（www.csrcbank.com）发布相关信息公告通知投资者，</w:t>
      </w:r>
      <w:r>
        <w:rPr>
          <w:rFonts w:hint="eastAsia" w:ascii="宋体" w:hAnsi="宋体" w:cs="宋体"/>
          <w:b/>
          <w:bCs/>
          <w:kern w:val="0"/>
          <w:sz w:val="18"/>
          <w:szCs w:val="18"/>
          <w:highlight w:val="none"/>
        </w:rPr>
        <w:t>投资者可按照公告说明提起异议，未在公告规定时间明确提出异议的，视为投资者接受修订。</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6、对于在本产品说明书签订和履行过程中获取和知悉的客户投资者的未公开信息和资料，产品管理人对相关信息和资料的使用不得违反法律法规和监管要求，并依法承担保密责任，不得向第三方披露该等信息和资料，但下列情形除外：</w:t>
      </w:r>
    </w:p>
    <w:p>
      <w:pPr>
        <w:widowControl/>
        <w:ind w:firstLine="361" w:firstLineChars="200"/>
        <w:jc w:val="left"/>
        <w:rPr>
          <w:rFonts w:ascii="宋体" w:hAnsi="宋体" w:cs="宋体"/>
          <w:b/>
          <w:bCs/>
          <w:kern w:val="0"/>
          <w:sz w:val="18"/>
          <w:szCs w:val="18"/>
          <w:highlight w:val="none"/>
        </w:rPr>
      </w:pPr>
      <w:r>
        <w:rPr>
          <w:rFonts w:hint="eastAsia" w:ascii="宋体" w:hAnsi="宋体" w:cs="宋体"/>
          <w:b/>
          <w:bCs/>
          <w:kern w:val="0"/>
          <w:sz w:val="18"/>
          <w:szCs w:val="18"/>
          <w:highlight w:val="none"/>
        </w:rPr>
        <w:t>（1）适用的法律法规要求披露的；</w:t>
      </w:r>
    </w:p>
    <w:p>
      <w:pPr>
        <w:widowControl/>
        <w:ind w:firstLine="361" w:firstLineChars="200"/>
        <w:jc w:val="left"/>
        <w:rPr>
          <w:rFonts w:ascii="宋体" w:hAnsi="宋体" w:cs="宋体"/>
          <w:b/>
          <w:bCs/>
          <w:kern w:val="0"/>
          <w:sz w:val="18"/>
          <w:szCs w:val="18"/>
          <w:highlight w:val="none"/>
        </w:rPr>
      </w:pPr>
      <w:r>
        <w:rPr>
          <w:rFonts w:hint="eastAsia" w:ascii="宋体" w:hAnsi="宋体" w:cs="宋体"/>
          <w:b/>
          <w:bCs/>
          <w:kern w:val="0"/>
          <w:sz w:val="18"/>
          <w:szCs w:val="18"/>
          <w:highlight w:val="none"/>
        </w:rPr>
        <w:t>（2）司法部门或监管机构依法要求披露的；</w:t>
      </w:r>
    </w:p>
    <w:p>
      <w:pPr>
        <w:widowControl/>
        <w:ind w:firstLine="361" w:firstLineChars="200"/>
        <w:jc w:val="left"/>
        <w:rPr>
          <w:rFonts w:ascii="宋体" w:hAnsi="宋体" w:cs="宋体"/>
          <w:b/>
          <w:bCs/>
          <w:kern w:val="0"/>
          <w:sz w:val="18"/>
          <w:szCs w:val="18"/>
          <w:highlight w:val="none"/>
        </w:rPr>
      </w:pPr>
      <w:r>
        <w:rPr>
          <w:rFonts w:hint="eastAsia" w:ascii="宋体" w:hAnsi="宋体" w:cs="宋体"/>
          <w:b/>
          <w:bCs/>
          <w:kern w:val="0"/>
          <w:sz w:val="18"/>
          <w:szCs w:val="18"/>
          <w:highlight w:val="none"/>
        </w:rPr>
        <w:t>（3）产品管理人为履行本产品说明书义务及行使产品说明书项下权利需向外部专业顾问、托管人、理财产品合作机构披露和允许外部专业顾问、托管人、理财产品合作机构在保密的基础上使用的；</w:t>
      </w:r>
    </w:p>
    <w:p>
      <w:pPr>
        <w:widowControl/>
        <w:ind w:firstLine="361" w:firstLineChars="200"/>
        <w:jc w:val="left"/>
        <w:rPr>
          <w:rFonts w:ascii="宋体" w:hAnsi="宋体" w:cs="宋体"/>
          <w:kern w:val="0"/>
          <w:sz w:val="18"/>
          <w:szCs w:val="18"/>
          <w:highlight w:val="none"/>
        </w:rPr>
      </w:pPr>
      <w:r>
        <w:rPr>
          <w:rFonts w:hint="eastAsia" w:ascii="宋体" w:hAnsi="宋体" w:cs="宋体"/>
          <w:b/>
          <w:bCs/>
          <w:kern w:val="0"/>
          <w:sz w:val="18"/>
          <w:szCs w:val="18"/>
          <w:highlight w:val="none"/>
        </w:rPr>
        <w:t>（4）投资者另行明确同意或授权产品管理人进行披露的。</w:t>
      </w:r>
    </w:p>
    <w:p>
      <w:pPr>
        <w:ind w:firstLine="361" w:firstLineChars="200"/>
        <w:rPr>
          <w:rFonts w:ascii="宋体" w:hAnsi="宋体"/>
          <w:b/>
          <w:sz w:val="18"/>
          <w:szCs w:val="18"/>
          <w:highlight w:val="none"/>
        </w:rPr>
      </w:pPr>
      <w:r>
        <w:rPr>
          <w:rFonts w:hint="eastAsia" w:ascii="宋体" w:hAnsi="宋体"/>
          <w:b/>
          <w:sz w:val="18"/>
          <w:szCs w:val="18"/>
          <w:highlight w:val="none"/>
        </w:rPr>
        <w:t>投资者知晓并同意：产品管理人根据监管规定对投资者及投资者持有的理财产品的相关信息，包括但不限于身份信息、交易信息、持仓信息等进行登记，并传输给银行业理财登记托管中心。银行也可根据托管机构、理财产品合作机构反洗钱工作或其他监管工作要求向托管机构、理财产品合作机构披露投资者相关信息。</w:t>
      </w:r>
    </w:p>
    <w:p>
      <w:pPr>
        <w:rPr>
          <w:rFonts w:ascii="宋体" w:hAnsi="宋体"/>
          <w:b/>
          <w:sz w:val="18"/>
          <w:szCs w:val="18"/>
          <w:highlight w:val="none"/>
        </w:rPr>
      </w:pPr>
      <w:r>
        <w:rPr>
          <w:rFonts w:hint="eastAsia" w:ascii="宋体" w:hAnsi="宋体"/>
          <w:b/>
          <w:sz w:val="18"/>
          <w:szCs w:val="18"/>
          <w:highlight w:val="none"/>
        </w:rPr>
        <w:t>四、投诉</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投资者若对本理财产品有任何疑问，可咨询销售银行营业网点工作人员；如对该产品和服务有任何意见和建议，可通过以下渠道进行反映：</w:t>
      </w:r>
    </w:p>
    <w:p>
      <w:pPr>
        <w:numPr>
          <w:ilvl w:val="0"/>
          <w:numId w:val="3"/>
        </w:num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销售银行各营业网均设立专员负责受理客户的投诉。</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2、产品管理人客户服务热线设立专线投诉电话受理理财业务的投资者投诉，并指定专人负责接听、记录、处理和跟踪。</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3、各网点营业大厅显要处设立意见箱或意见簿，定期检查客户投诉记录并及时处理。</w:t>
      </w:r>
    </w:p>
    <w:p>
      <w:pPr>
        <w:ind w:firstLine="360" w:firstLineChars="200"/>
        <w:jc w:val="left"/>
        <w:rPr>
          <w:rFonts w:ascii="宋体" w:hAnsi="宋体"/>
          <w:sz w:val="18"/>
          <w:szCs w:val="18"/>
          <w:highlight w:val="none"/>
        </w:rPr>
      </w:pPr>
      <w:r>
        <w:rPr>
          <w:rFonts w:hint="eastAsia" w:ascii="宋体" w:hAnsi="宋体" w:cs="宋体"/>
          <w:kern w:val="0"/>
          <w:sz w:val="18"/>
          <w:szCs w:val="18"/>
          <w:highlight w:val="none"/>
        </w:rPr>
        <w:t>4、登陆产品管理人官方网站</w:t>
      </w:r>
      <w:r>
        <w:rPr>
          <w:rFonts w:ascii="宋体" w:hAnsi="宋体" w:cs="宋体"/>
          <w:kern w:val="0"/>
          <w:sz w:val="18"/>
          <w:szCs w:val="18"/>
          <w:highlight w:val="none"/>
          <w:u w:val="single"/>
        </w:rPr>
        <w:t>www.</w:t>
      </w:r>
      <w:r>
        <w:rPr>
          <w:rFonts w:hint="eastAsia" w:ascii="宋体" w:hAnsi="宋体" w:cs="宋体"/>
          <w:kern w:val="0"/>
          <w:sz w:val="18"/>
          <w:szCs w:val="18"/>
          <w:highlight w:val="none"/>
          <w:u w:val="single"/>
        </w:rPr>
        <w:t>csrcbank</w:t>
      </w:r>
      <w:r>
        <w:rPr>
          <w:rFonts w:ascii="宋体" w:hAnsi="宋体" w:cs="宋体"/>
          <w:kern w:val="0"/>
          <w:sz w:val="18"/>
          <w:szCs w:val="18"/>
          <w:highlight w:val="none"/>
          <w:u w:val="single"/>
        </w:rPr>
        <w:t>.com</w:t>
      </w:r>
      <w:r>
        <w:rPr>
          <w:rFonts w:hint="eastAsia" w:ascii="宋体" w:hAnsi="宋体" w:cs="宋体"/>
          <w:kern w:val="0"/>
          <w:sz w:val="18"/>
          <w:szCs w:val="18"/>
          <w:highlight w:val="none"/>
        </w:rPr>
        <w:t>进行反映，产品管理人将按照相关流程予以受理。</w:t>
      </w:r>
    </w:p>
    <w:p>
      <w:pPr>
        <w:rPr>
          <w:rFonts w:ascii="宋体" w:hAnsi="宋体"/>
          <w:b/>
          <w:bCs/>
          <w:sz w:val="18"/>
          <w:szCs w:val="18"/>
          <w:highlight w:val="none"/>
        </w:rPr>
      </w:pPr>
      <w:r>
        <w:rPr>
          <w:rFonts w:hint="eastAsia" w:ascii="宋体" w:hAnsi="宋体"/>
          <w:b/>
          <w:bCs/>
          <w:sz w:val="18"/>
          <w:szCs w:val="18"/>
          <w:highlight w:val="none"/>
        </w:rPr>
        <w:t>五、常熟农商银行联络方式：</w:t>
      </w:r>
    </w:p>
    <w:p>
      <w:pPr>
        <w:ind w:firstLine="360" w:firstLineChars="200"/>
        <w:jc w:val="left"/>
        <w:rPr>
          <w:rFonts w:ascii="宋体" w:hAnsi="宋体" w:cs="宋体"/>
          <w:kern w:val="0"/>
          <w:sz w:val="18"/>
          <w:szCs w:val="18"/>
          <w:highlight w:val="none"/>
        </w:rPr>
      </w:pPr>
      <w:r>
        <w:rPr>
          <w:rFonts w:hint="eastAsia" w:ascii="宋体" w:hAnsi="宋体" w:cs="宋体"/>
          <w:kern w:val="0"/>
          <w:sz w:val="18"/>
          <w:szCs w:val="18"/>
          <w:highlight w:val="none"/>
        </w:rPr>
        <w:t>客服电话：956020        官方网站：</w:t>
      </w:r>
      <w:r>
        <w:rPr>
          <w:highlight w:val="none"/>
        </w:rPr>
        <w:fldChar w:fldCharType="begin"/>
      </w:r>
      <w:r>
        <w:rPr>
          <w:highlight w:val="none"/>
        </w:rPr>
        <w:instrText xml:space="preserve"> HYPERLINK "http://www.csrcbank.com/" </w:instrText>
      </w:r>
      <w:r>
        <w:rPr>
          <w:highlight w:val="none"/>
        </w:rPr>
        <w:fldChar w:fldCharType="separate"/>
      </w:r>
      <w:r>
        <w:rPr>
          <w:rStyle w:val="10"/>
          <w:rFonts w:ascii="宋体" w:hAnsi="宋体" w:cs="宋体"/>
          <w:color w:val="auto"/>
          <w:kern w:val="0"/>
          <w:sz w:val="18"/>
          <w:szCs w:val="18"/>
          <w:highlight w:val="none"/>
        </w:rPr>
        <w:t>www.</w:t>
      </w:r>
      <w:r>
        <w:rPr>
          <w:rStyle w:val="10"/>
          <w:rFonts w:hint="eastAsia" w:ascii="宋体" w:hAnsi="宋体" w:cs="宋体"/>
          <w:color w:val="auto"/>
          <w:kern w:val="0"/>
          <w:sz w:val="18"/>
          <w:szCs w:val="18"/>
          <w:highlight w:val="none"/>
        </w:rPr>
        <w:t>csrcbank</w:t>
      </w:r>
      <w:r>
        <w:rPr>
          <w:rStyle w:val="10"/>
          <w:rFonts w:ascii="宋体" w:hAnsi="宋体" w:cs="宋体"/>
          <w:color w:val="auto"/>
          <w:kern w:val="0"/>
          <w:sz w:val="18"/>
          <w:szCs w:val="18"/>
          <w:highlight w:val="none"/>
        </w:rPr>
        <w:t>.com</w:t>
      </w:r>
      <w:r>
        <w:rPr>
          <w:rStyle w:val="10"/>
          <w:rFonts w:ascii="宋体" w:hAnsi="宋体" w:cs="宋体"/>
          <w:color w:val="auto"/>
          <w:kern w:val="0"/>
          <w:sz w:val="18"/>
          <w:szCs w:val="18"/>
          <w:highlight w:val="none"/>
        </w:rPr>
        <w:fldChar w:fldCharType="end"/>
      </w:r>
    </w:p>
    <w:p>
      <w:pPr>
        <w:jc w:val="left"/>
        <w:rPr>
          <w:rFonts w:ascii="宋体" w:hAnsi="宋体" w:cs="宋体"/>
          <w:b/>
          <w:kern w:val="0"/>
          <w:sz w:val="18"/>
          <w:szCs w:val="18"/>
          <w:highlight w:val="none"/>
        </w:rPr>
      </w:pPr>
      <w:r>
        <w:rPr>
          <w:rFonts w:hint="eastAsia" w:ascii="宋体" w:hAnsi="宋体" w:cs="宋体"/>
          <w:b/>
          <w:kern w:val="0"/>
          <w:sz w:val="18"/>
          <w:szCs w:val="18"/>
          <w:highlight w:val="none"/>
        </w:rPr>
        <w:t>六、本投资者权益须知与理财产品协议书、理财产品说明书、风险揭示书共同构成完整不可分割的理财产品合同。</w:t>
      </w:r>
    </w:p>
    <w:p>
      <w:pPr>
        <w:jc w:val="left"/>
        <w:rPr>
          <w:rFonts w:ascii="宋体" w:hAnsi="宋体" w:cs="宋体"/>
          <w:b/>
          <w:kern w:val="0"/>
          <w:sz w:val="18"/>
          <w:szCs w:val="18"/>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center"/>
        <w:rPr>
          <w:highlight w:val="none"/>
        </w:rPr>
      </w:pPr>
    </w:p>
    <w:p>
      <w:pPr>
        <w:snapToGrid w:val="0"/>
        <w:spacing w:beforeLines="50" w:line="480" w:lineRule="exact"/>
        <w:jc w:val="both"/>
        <w:rPr>
          <w:highlight w:val="none"/>
        </w:rPr>
      </w:pPr>
    </w:p>
    <w:p>
      <w:pPr>
        <w:snapToGrid w:val="0"/>
        <w:spacing w:beforeLines="50" w:line="480" w:lineRule="exact"/>
        <w:jc w:val="both"/>
        <w:rPr>
          <w:highlight w:val="none"/>
        </w:rPr>
      </w:pPr>
    </w:p>
    <w:p>
      <w:pPr>
        <w:snapToGrid w:val="0"/>
        <w:spacing w:beforeLines="50" w:line="480" w:lineRule="exact"/>
        <w:jc w:val="both"/>
        <w:rPr>
          <w:highlight w:val="none"/>
        </w:rPr>
      </w:pPr>
    </w:p>
    <w:p>
      <w:pPr>
        <w:snapToGrid w:val="0"/>
        <w:spacing w:beforeLines="50" w:line="480" w:lineRule="exact"/>
        <w:jc w:val="both"/>
        <w:rPr>
          <w:highlight w:val="none"/>
        </w:rPr>
      </w:pPr>
    </w:p>
    <w:p>
      <w:pPr>
        <w:snapToGrid w:val="0"/>
        <w:spacing w:beforeLines="50" w:line="480" w:lineRule="exact"/>
        <w:jc w:val="both"/>
        <w:rPr>
          <w:highlight w:val="none"/>
        </w:rPr>
      </w:pPr>
    </w:p>
    <w:p>
      <w:pPr>
        <w:jc w:val="center"/>
        <w:rPr>
          <w:rFonts w:ascii="宋体" w:hAnsi="宋体"/>
          <w:b/>
          <w:bCs/>
          <w:sz w:val="28"/>
          <w:szCs w:val="18"/>
          <w:highlight w:val="none"/>
        </w:rPr>
      </w:pPr>
      <w:r>
        <w:rPr>
          <w:rFonts w:hint="eastAsia" w:ascii="宋体" w:hAnsi="宋体"/>
          <w:b/>
          <w:bCs/>
          <w:sz w:val="28"/>
          <w:szCs w:val="18"/>
          <w:highlight w:val="none"/>
        </w:rPr>
        <w:t>理财产品协议书</w:t>
      </w:r>
    </w:p>
    <w:p>
      <w:pPr>
        <w:tabs>
          <w:tab w:val="left" w:pos="720"/>
        </w:tabs>
        <w:ind w:firstLine="360" w:firstLineChars="200"/>
        <w:jc w:val="center"/>
        <w:rPr>
          <w:rFonts w:ascii="宋体" w:hAnsi="宋体"/>
          <w:sz w:val="18"/>
          <w:szCs w:val="18"/>
          <w:highlight w:val="none"/>
        </w:rPr>
      </w:pPr>
      <w:r>
        <w:rPr>
          <w:rFonts w:hint="eastAsia" w:ascii="宋体" w:hAnsi="宋体"/>
          <w:sz w:val="18"/>
          <w:szCs w:val="18"/>
          <w:highlight w:val="none"/>
        </w:rPr>
        <w:t>（适用于常熟农商银行销售）</w:t>
      </w:r>
    </w:p>
    <w:p>
      <w:pPr>
        <w:ind w:firstLine="360" w:firstLineChars="200"/>
        <w:rPr>
          <w:rFonts w:ascii="宋体" w:hAnsi="宋体"/>
          <w:sz w:val="18"/>
          <w:szCs w:val="18"/>
          <w:highlight w:val="none"/>
        </w:rPr>
      </w:pPr>
    </w:p>
    <w:p>
      <w:pPr>
        <w:ind w:firstLine="360" w:firstLineChars="200"/>
        <w:rPr>
          <w:rFonts w:ascii="宋体" w:hAnsi="宋体"/>
          <w:sz w:val="18"/>
          <w:szCs w:val="18"/>
          <w:highlight w:val="none"/>
        </w:rPr>
      </w:pPr>
      <w:r>
        <w:rPr>
          <w:rFonts w:hint="eastAsia" w:ascii="宋体" w:hAnsi="宋体"/>
          <w:sz w:val="18"/>
          <w:szCs w:val="18"/>
          <w:highlight w:val="none"/>
        </w:rPr>
        <w:t>甲方：投资者</w:t>
      </w:r>
    </w:p>
    <w:p>
      <w:pPr>
        <w:ind w:firstLine="360" w:firstLineChars="200"/>
        <w:rPr>
          <w:rFonts w:ascii="宋体" w:hAnsi="宋体"/>
          <w:sz w:val="18"/>
          <w:szCs w:val="18"/>
          <w:highlight w:val="none"/>
        </w:rPr>
      </w:pPr>
      <w:r>
        <w:rPr>
          <w:rFonts w:hint="eastAsia" w:ascii="宋体" w:hAnsi="宋体"/>
          <w:sz w:val="18"/>
          <w:szCs w:val="18"/>
          <w:highlight w:val="none"/>
        </w:rPr>
        <w:t>乙方：江苏常熟农村商业银行股份有限公司________________________________（柜面签署为分支机构名称，电子渠道签署为总行名称）</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经甲方与乙方协商一致，就甲方向乙方购买理财产品，达成协议如下：</w:t>
      </w:r>
    </w:p>
    <w:p>
      <w:pPr>
        <w:tabs>
          <w:tab w:val="left" w:pos="720"/>
        </w:tabs>
        <w:rPr>
          <w:rFonts w:ascii="宋体" w:hAnsi="宋体"/>
          <w:b/>
          <w:bCs/>
          <w:sz w:val="18"/>
          <w:szCs w:val="18"/>
          <w:highlight w:val="none"/>
        </w:rPr>
      </w:pPr>
      <w:r>
        <w:rPr>
          <w:rFonts w:hint="eastAsia" w:ascii="宋体" w:hAnsi="宋体"/>
          <w:b/>
          <w:bCs/>
          <w:sz w:val="18"/>
          <w:szCs w:val="18"/>
          <w:highlight w:val="none"/>
        </w:rPr>
        <w:t>一、风险揭示</w:t>
      </w:r>
    </w:p>
    <w:p>
      <w:pPr>
        <w:tabs>
          <w:tab w:val="left" w:pos="720"/>
        </w:tabs>
        <w:ind w:firstLine="361" w:firstLineChars="200"/>
        <w:rPr>
          <w:rFonts w:ascii="宋体" w:hAnsi="宋体"/>
          <w:sz w:val="18"/>
          <w:szCs w:val="18"/>
          <w:highlight w:val="none"/>
        </w:rPr>
      </w:pPr>
      <w:r>
        <w:rPr>
          <w:rFonts w:hint="eastAsia" w:ascii="宋体" w:hAnsi="宋体"/>
          <w:b/>
          <w:bCs/>
          <w:sz w:val="18"/>
          <w:szCs w:val="18"/>
          <w:highlight w:val="none"/>
        </w:rPr>
        <w:t>理财非存款、产品有风险、投资须谨慎。</w:t>
      </w:r>
      <w:r>
        <w:rPr>
          <w:rFonts w:hint="eastAsia" w:ascii="宋体" w:hAnsi="宋体"/>
          <w:sz w:val="18"/>
          <w:szCs w:val="18"/>
          <w:highlight w:val="none"/>
        </w:rPr>
        <w:t>投资理财产品可能面临信用风险、市场风险、流动性风险等风险因素，具体由乙方在每款理财产品的《理财产品说明书》和《风险揭示书》中揭示。甲方应仔细阅读并充分理解拟认购理财产品对应的《理财产品说明书》和《风险揭示书》的详细条款及可能发生的风险。</w:t>
      </w:r>
    </w:p>
    <w:p>
      <w:pPr>
        <w:tabs>
          <w:tab w:val="left" w:pos="720"/>
        </w:tabs>
        <w:rPr>
          <w:rFonts w:ascii="宋体" w:hAnsi="宋体"/>
          <w:b/>
          <w:bCs/>
          <w:sz w:val="18"/>
          <w:szCs w:val="18"/>
          <w:highlight w:val="none"/>
        </w:rPr>
      </w:pPr>
      <w:r>
        <w:rPr>
          <w:rFonts w:hint="eastAsia" w:ascii="宋体" w:hAnsi="宋体"/>
          <w:b/>
          <w:bCs/>
          <w:sz w:val="18"/>
          <w:szCs w:val="18"/>
          <w:highlight w:val="none"/>
        </w:rPr>
        <w:t>二、甲方认购/申购金额及账户</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1、甲方认购/申购理财产品金额及扣款账户，通过乙方柜面认购/申购的，以《理财产品交易信息表》金额和账户为准；通过乙方电子渠道认购/申购的，以甲方在电子渠道端点击确认的金额和账户为准。</w:t>
      </w:r>
    </w:p>
    <w:p>
      <w:pPr>
        <w:spacing w:line="320" w:lineRule="exact"/>
        <w:ind w:firstLine="360" w:firstLineChars="200"/>
        <w:rPr>
          <w:rFonts w:ascii="宋体" w:hAnsi="宋体" w:cs="宋体"/>
          <w:sz w:val="18"/>
          <w:szCs w:val="18"/>
          <w:highlight w:val="none"/>
        </w:rPr>
      </w:pPr>
      <w:r>
        <w:rPr>
          <w:rFonts w:hint="eastAsia" w:ascii="宋体" w:hAnsi="宋体" w:cs="宋体"/>
          <w:sz w:val="18"/>
          <w:szCs w:val="18"/>
          <w:highlight w:val="none"/>
        </w:rPr>
        <w:t>2、甲方委托乙方于理财产品到期或赎回后将兑付资金划转至甲方原认购/申购账户内。甲方持有理财产品期间，若甲方要求变更本协议结算账户，应提前2个工作日向乙方提出申请，并获得乙方的确认回执，且变更后的账户应为甲方在乙方处开立的其他账户；甲方不得将结算帐户注销。</w:t>
      </w:r>
    </w:p>
    <w:p>
      <w:pPr>
        <w:tabs>
          <w:tab w:val="left" w:pos="720"/>
        </w:tabs>
        <w:rPr>
          <w:rFonts w:ascii="宋体" w:hAnsi="宋体"/>
          <w:b/>
          <w:bCs/>
          <w:sz w:val="18"/>
          <w:szCs w:val="18"/>
          <w:highlight w:val="none"/>
        </w:rPr>
      </w:pPr>
      <w:r>
        <w:rPr>
          <w:rFonts w:hint="eastAsia" w:ascii="宋体" w:hAnsi="宋体" w:cs="宋体"/>
          <w:sz w:val="18"/>
          <w:szCs w:val="18"/>
          <w:highlight w:val="none"/>
        </w:rPr>
        <w:t>三、</w:t>
      </w:r>
      <w:r>
        <w:rPr>
          <w:rFonts w:hint="eastAsia" w:ascii="宋体" w:hAnsi="宋体"/>
          <w:b/>
          <w:bCs/>
          <w:sz w:val="18"/>
          <w:szCs w:val="18"/>
          <w:highlight w:val="none"/>
        </w:rPr>
        <w:t>甲方声明与承诺</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1、</w:t>
      </w:r>
      <w:r>
        <w:rPr>
          <w:rFonts w:hint="eastAsia" w:ascii="宋体" w:hAnsi="宋体"/>
          <w:b/>
          <w:bCs/>
          <w:sz w:val="18"/>
          <w:szCs w:val="18"/>
          <w:highlight w:val="none"/>
        </w:rPr>
        <w:t>甲方是具有完全民事行为能力的个人/机构，已经阅读《投资者权益须知》并清楚知晓其内容，接受并签署《理财产品协议书》、《理财产品说明书》和《风险揭示书》，对有关条款不存在任何疑问或异议；</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2、甲方以</w:t>
      </w:r>
      <w:r>
        <w:rPr>
          <w:rFonts w:hint="eastAsia" w:ascii="宋体" w:hAnsi="宋体"/>
          <w:b/>
          <w:bCs/>
          <w:sz w:val="18"/>
          <w:szCs w:val="18"/>
          <w:highlight w:val="none"/>
        </w:rPr>
        <w:t>本人合法所有的资金购</w:t>
      </w:r>
      <w:r>
        <w:rPr>
          <w:rFonts w:hint="eastAsia" w:ascii="宋体" w:hAnsi="宋体"/>
          <w:sz w:val="18"/>
          <w:szCs w:val="18"/>
          <w:highlight w:val="none"/>
        </w:rPr>
        <w:t>买乙方提供的产品，并能充分理解所购买产品的内容，完全知晓产品可能出现的各种风险，</w:t>
      </w:r>
      <w:r>
        <w:rPr>
          <w:rFonts w:hint="eastAsia" w:ascii="宋体" w:hAnsi="宋体"/>
          <w:b/>
          <w:bCs/>
          <w:sz w:val="18"/>
          <w:szCs w:val="18"/>
          <w:highlight w:val="none"/>
        </w:rPr>
        <w:t>愿意并能够承担风险。乙方向甲方提供的市场分析和预测仅供参考，</w:t>
      </w:r>
      <w:r>
        <w:rPr>
          <w:rFonts w:hint="eastAsia" w:ascii="宋体" w:hAnsi="宋体"/>
          <w:sz w:val="18"/>
          <w:szCs w:val="18"/>
          <w:highlight w:val="none"/>
        </w:rPr>
        <w:t>甲方据此做出的任何决策均出于甲方自身的判断。</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3、</w:t>
      </w:r>
      <w:r>
        <w:rPr>
          <w:rFonts w:hint="eastAsia" w:ascii="宋体" w:hAnsi="宋体"/>
          <w:b/>
          <w:bCs/>
          <w:sz w:val="18"/>
          <w:szCs w:val="18"/>
          <w:highlight w:val="none"/>
        </w:rPr>
        <w:t>甲方签订和履行本协议是甲方真实意思表示，并已经过所有必需的同意、批准及授权。个人投资者，其已经过财产共同所有权人同意；机构投资者，其已履行内部必要的批准程序。</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4、</w:t>
      </w:r>
      <w:r>
        <w:rPr>
          <w:rFonts w:hint="eastAsia" w:ascii="宋体" w:hAnsi="宋体"/>
          <w:b/>
          <w:bCs/>
          <w:sz w:val="18"/>
          <w:szCs w:val="18"/>
          <w:highlight w:val="none"/>
        </w:rPr>
        <w:t>甲方认/申购理财产品并签署本协议后，即授权乙方在理财产品说明书中约定的扣款日从甲方购买理财产品的账户中扣划甲方本协议项下的理财款项，乙方划款前无需再同甲方进行确认</w:t>
      </w:r>
      <w:r>
        <w:rPr>
          <w:rFonts w:hint="eastAsia" w:ascii="宋体" w:hAnsi="宋体"/>
          <w:sz w:val="18"/>
          <w:szCs w:val="18"/>
          <w:highlight w:val="none"/>
        </w:rPr>
        <w:t>。在理财产品存续期间，甲方应保持购买理财产品的账户持续有效。理财产品到期或甲方赎回理财产品时，本金及收益（如有）由乙方自动兑付至甲方原认购账户或甲方变更后的其他账户。</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5、甲方确认，理财产品需收取一定的费用（如固定管理费、托管费等），具体收费方式和标准在《理财产品说明书》中约定。</w:t>
      </w:r>
    </w:p>
    <w:p>
      <w:pPr>
        <w:tabs>
          <w:tab w:val="left" w:pos="720"/>
        </w:tabs>
        <w:ind w:firstLine="361" w:firstLineChars="200"/>
        <w:rPr>
          <w:rFonts w:ascii="宋体" w:hAnsi="宋体"/>
          <w:b/>
          <w:bCs/>
          <w:sz w:val="18"/>
          <w:szCs w:val="18"/>
          <w:highlight w:val="none"/>
        </w:rPr>
      </w:pPr>
      <w:r>
        <w:rPr>
          <w:rFonts w:hint="eastAsia" w:ascii="宋体" w:hAnsi="宋体"/>
          <w:b/>
          <w:bCs/>
          <w:sz w:val="18"/>
          <w:szCs w:val="18"/>
          <w:highlight w:val="none"/>
        </w:rPr>
        <w:t>6、乙方暂不提供理财产品转让或质押服务。甲方转让或者质押其持有理财产品或以其他方式处理理财合同项下的权利和义务，需经乙方同意，否则乙方有权不予办理转让或质押登记。</w:t>
      </w:r>
    </w:p>
    <w:p>
      <w:pPr>
        <w:rPr>
          <w:rFonts w:ascii="宋体" w:hAnsi="宋体"/>
          <w:b/>
          <w:bCs/>
          <w:sz w:val="18"/>
          <w:szCs w:val="18"/>
          <w:highlight w:val="none"/>
        </w:rPr>
      </w:pPr>
      <w:r>
        <w:rPr>
          <w:rFonts w:hint="eastAsia" w:ascii="宋体" w:hAnsi="宋体"/>
          <w:b/>
          <w:bCs/>
          <w:sz w:val="18"/>
          <w:szCs w:val="18"/>
          <w:highlight w:val="none"/>
        </w:rPr>
        <w:t>四、赎回和提前终止</w:t>
      </w:r>
    </w:p>
    <w:p>
      <w:pPr>
        <w:ind w:firstLine="360" w:firstLineChars="200"/>
        <w:rPr>
          <w:rFonts w:ascii="宋体" w:hAnsi="宋体"/>
          <w:sz w:val="18"/>
          <w:szCs w:val="18"/>
          <w:highlight w:val="none"/>
        </w:rPr>
      </w:pPr>
      <w:r>
        <w:rPr>
          <w:rFonts w:hint="eastAsia" w:ascii="宋体" w:hAnsi="宋体"/>
          <w:sz w:val="18"/>
          <w:szCs w:val="18"/>
          <w:highlight w:val="none"/>
        </w:rPr>
        <w:t>1、对于开放式理财产品，甲方可按产品说明书约定进行份额赎回。在开放式理财产品封闭期内，除非理财产品说明书另有约定，乙方不提供部分或全部提前支取理财资金服务。</w:t>
      </w:r>
    </w:p>
    <w:p>
      <w:pPr>
        <w:ind w:firstLine="360" w:firstLineChars="200"/>
        <w:rPr>
          <w:rFonts w:ascii="宋体" w:hAnsi="宋体"/>
          <w:sz w:val="18"/>
          <w:szCs w:val="18"/>
          <w:highlight w:val="none"/>
        </w:rPr>
      </w:pPr>
      <w:r>
        <w:rPr>
          <w:rFonts w:hint="eastAsia" w:ascii="宋体" w:hAnsi="宋体"/>
          <w:sz w:val="18"/>
          <w:szCs w:val="18"/>
          <w:highlight w:val="none"/>
        </w:rPr>
        <w:t>2、对于封闭式理财产品，除非理财产品说明书另有约定，乙方不提供部分或全部提前支取理财资金服务。</w:t>
      </w:r>
    </w:p>
    <w:p>
      <w:pPr>
        <w:rPr>
          <w:rFonts w:ascii="宋体" w:hAnsi="宋体"/>
          <w:b/>
          <w:bCs/>
          <w:sz w:val="18"/>
          <w:szCs w:val="18"/>
          <w:highlight w:val="none"/>
        </w:rPr>
      </w:pPr>
      <w:r>
        <w:rPr>
          <w:rFonts w:hint="eastAsia" w:ascii="宋体" w:hAnsi="宋体"/>
          <w:b/>
          <w:bCs/>
          <w:sz w:val="18"/>
          <w:szCs w:val="18"/>
          <w:highlight w:val="none"/>
        </w:rPr>
        <w:t>五、免责</w:t>
      </w:r>
    </w:p>
    <w:p>
      <w:pPr>
        <w:ind w:firstLine="361" w:firstLineChars="200"/>
        <w:rPr>
          <w:rFonts w:ascii="宋体" w:hAnsi="宋体"/>
          <w:b/>
          <w:bCs/>
          <w:sz w:val="18"/>
          <w:szCs w:val="18"/>
          <w:highlight w:val="none"/>
        </w:rPr>
      </w:pPr>
      <w:r>
        <w:rPr>
          <w:rFonts w:hint="eastAsia" w:ascii="宋体" w:hAnsi="宋体"/>
          <w:b/>
          <w:bCs/>
          <w:sz w:val="18"/>
          <w:szCs w:val="18"/>
          <w:highlight w:val="none"/>
        </w:rPr>
        <w:t>1、由于地震、火灾、洪水、战争、电力故障、通信系统故障、计算机或网络系统故障等不可抗力导致的交易中断、延误等风险及损失，乙方不承担责任，但应在条件允许的情况下通知甲方，并采取一切必要的补救措施以减小不可抗力造成的损失。</w:t>
      </w:r>
    </w:p>
    <w:p>
      <w:pPr>
        <w:ind w:firstLine="361" w:firstLineChars="200"/>
        <w:rPr>
          <w:rFonts w:ascii="宋体" w:hAnsi="宋体"/>
          <w:b/>
          <w:bCs/>
          <w:sz w:val="18"/>
          <w:szCs w:val="18"/>
          <w:highlight w:val="none"/>
        </w:rPr>
      </w:pPr>
      <w:r>
        <w:rPr>
          <w:rFonts w:hint="eastAsia" w:ascii="宋体" w:hAnsi="宋体"/>
          <w:b/>
          <w:bCs/>
          <w:sz w:val="18"/>
          <w:szCs w:val="18"/>
          <w:highlight w:val="none"/>
        </w:rPr>
        <w:t>2、由于国家的有关法律、法规、规章、政策的改变、紧急措施的出台而导致的风险，乙方不承担责任。</w:t>
      </w:r>
    </w:p>
    <w:p>
      <w:pPr>
        <w:ind w:firstLine="361" w:firstLineChars="200"/>
        <w:rPr>
          <w:rFonts w:ascii="宋体" w:hAnsi="宋体"/>
          <w:b/>
          <w:bCs/>
          <w:sz w:val="18"/>
          <w:szCs w:val="18"/>
          <w:highlight w:val="none"/>
        </w:rPr>
      </w:pPr>
      <w:r>
        <w:rPr>
          <w:rFonts w:hint="eastAsia" w:ascii="宋体" w:hAnsi="宋体"/>
          <w:b/>
          <w:bCs/>
          <w:sz w:val="18"/>
          <w:szCs w:val="18"/>
          <w:highlight w:val="none"/>
        </w:rPr>
        <w:t>3、</w:t>
      </w:r>
      <w:r>
        <w:rPr>
          <w:rFonts w:hint="eastAsia" w:ascii="宋体" w:hAnsi="宋体"/>
          <w:b/>
          <w:bCs/>
          <w:spacing w:val="-3"/>
          <w:sz w:val="18"/>
          <w:szCs w:val="18"/>
          <w:highlight w:val="none"/>
        </w:rPr>
        <w:t>本协议及产品说明书中涉及的所有日期如遇非工作日，</w:t>
      </w:r>
      <w:r>
        <w:rPr>
          <w:rFonts w:hint="eastAsia" w:ascii="宋体" w:hAnsi="宋体"/>
          <w:b/>
          <w:bCs/>
          <w:sz w:val="18"/>
          <w:szCs w:val="18"/>
          <w:highlight w:val="none"/>
        </w:rPr>
        <w:t>则顺延至下一个工作日，赎回款项或到期兑付款项在途期间不支付利息，由此导致的风险，乙方不承担责任。</w:t>
      </w:r>
    </w:p>
    <w:p>
      <w:pPr>
        <w:ind w:firstLine="361" w:firstLineChars="200"/>
        <w:rPr>
          <w:rFonts w:ascii="宋体" w:hAnsi="宋体"/>
          <w:sz w:val="18"/>
          <w:szCs w:val="18"/>
          <w:highlight w:val="none"/>
        </w:rPr>
      </w:pPr>
      <w:r>
        <w:rPr>
          <w:rFonts w:hint="eastAsia" w:ascii="宋体" w:hAnsi="宋体"/>
          <w:b/>
          <w:bCs/>
          <w:sz w:val="18"/>
          <w:szCs w:val="18"/>
          <w:highlight w:val="none"/>
        </w:rPr>
        <w:t>4、如由于甲方原因，本协议约定的甲方指定账户、理财资金本金或收益被司法机关要求冻结、扣划，则乙方可以根据实际情况全额终止甲方持有的理财产品份额，并停止向甲方支付收益，由此导致的损失，甲方自行承担。</w:t>
      </w:r>
    </w:p>
    <w:p>
      <w:pPr>
        <w:rPr>
          <w:rFonts w:ascii="宋体" w:hAnsi="宋体"/>
          <w:b/>
          <w:bCs/>
          <w:sz w:val="18"/>
          <w:szCs w:val="18"/>
          <w:highlight w:val="none"/>
        </w:rPr>
      </w:pPr>
      <w:r>
        <w:rPr>
          <w:rFonts w:hint="eastAsia" w:ascii="宋体" w:hAnsi="宋体"/>
          <w:b/>
          <w:bCs/>
          <w:sz w:val="18"/>
          <w:szCs w:val="18"/>
          <w:highlight w:val="none"/>
        </w:rPr>
        <w:t>六、争议解决</w:t>
      </w:r>
    </w:p>
    <w:p>
      <w:pPr>
        <w:ind w:firstLine="360" w:firstLineChars="200"/>
        <w:rPr>
          <w:rFonts w:ascii="宋体" w:hAnsi="宋体"/>
          <w:sz w:val="18"/>
          <w:szCs w:val="18"/>
          <w:highlight w:val="none"/>
        </w:rPr>
      </w:pPr>
      <w:r>
        <w:rPr>
          <w:rFonts w:hint="eastAsia" w:ascii="宋体" w:hAnsi="宋体"/>
          <w:sz w:val="18"/>
          <w:szCs w:val="18"/>
          <w:highlight w:val="none"/>
        </w:rPr>
        <w:t>因履行本协议而引致的一切争议，双方应首先本着诚实信用原则通过协商解决。不能协商解决的，</w:t>
      </w:r>
      <w:r>
        <w:rPr>
          <w:rFonts w:hint="eastAsia" w:ascii="宋体" w:hAnsi="宋体"/>
          <w:b/>
          <w:bCs/>
          <w:sz w:val="18"/>
          <w:szCs w:val="18"/>
          <w:highlight w:val="none"/>
        </w:rPr>
        <w:t>提交乙方所在地有管辖权人民法院诉讼解决。</w:t>
      </w:r>
    </w:p>
    <w:p>
      <w:pPr>
        <w:rPr>
          <w:rFonts w:ascii="宋体" w:hAnsi="宋体"/>
          <w:b/>
          <w:bCs/>
          <w:sz w:val="18"/>
          <w:szCs w:val="18"/>
          <w:highlight w:val="none"/>
        </w:rPr>
      </w:pPr>
      <w:r>
        <w:rPr>
          <w:rFonts w:hint="eastAsia" w:ascii="宋体" w:hAnsi="宋体"/>
          <w:b/>
          <w:bCs/>
          <w:sz w:val="18"/>
          <w:szCs w:val="18"/>
          <w:highlight w:val="none"/>
        </w:rPr>
        <w:t>七、协议的成立、生效及终止</w:t>
      </w:r>
    </w:p>
    <w:p>
      <w:pPr>
        <w:ind w:firstLine="360" w:firstLineChars="200"/>
        <w:rPr>
          <w:rFonts w:ascii="宋体" w:hAnsi="宋体"/>
          <w:b/>
          <w:bCs/>
          <w:sz w:val="18"/>
          <w:szCs w:val="18"/>
          <w:highlight w:val="none"/>
        </w:rPr>
      </w:pPr>
      <w:r>
        <w:rPr>
          <w:rFonts w:hint="eastAsia" w:ascii="宋体" w:hAnsi="宋体"/>
          <w:sz w:val="18"/>
          <w:szCs w:val="18"/>
          <w:highlight w:val="none"/>
        </w:rPr>
        <w:t>1、本协议通过乙方柜面签署的，在甲方签名</w:t>
      </w:r>
      <w:r>
        <w:rPr>
          <w:rFonts w:hint="eastAsia" w:ascii="宋体" w:hAnsi="宋体"/>
          <w:sz w:val="18"/>
          <w:szCs w:val="18"/>
          <w:highlight w:val="none"/>
          <w:lang w:eastAsia="zh-CN"/>
        </w:rPr>
        <w:t>或</w:t>
      </w:r>
      <w:r>
        <w:rPr>
          <w:rFonts w:hint="eastAsia" w:ascii="宋体" w:hAnsi="宋体"/>
          <w:sz w:val="18"/>
          <w:szCs w:val="18"/>
          <w:highlight w:val="none"/>
        </w:rPr>
        <w:t>按指印（甲方为自然人）或</w:t>
      </w:r>
      <w:r>
        <w:rPr>
          <w:rFonts w:hint="eastAsia" w:ascii="宋体" w:hAnsi="宋体"/>
          <w:sz w:val="18"/>
          <w:szCs w:val="18"/>
          <w:highlight w:val="none"/>
          <w:lang w:eastAsia="zh-CN"/>
        </w:rPr>
        <w:t>甲方加盖预留印鉴</w:t>
      </w:r>
      <w:r>
        <w:rPr>
          <w:rFonts w:hint="eastAsia" w:ascii="宋体" w:hAnsi="宋体"/>
          <w:sz w:val="18"/>
          <w:szCs w:val="18"/>
          <w:highlight w:val="none"/>
        </w:rPr>
        <w:t>（甲方为机构）</w:t>
      </w:r>
      <w:r>
        <w:rPr>
          <w:rFonts w:hint="eastAsia" w:ascii="宋体" w:hAnsi="宋体"/>
          <w:sz w:val="18"/>
          <w:szCs w:val="18"/>
          <w:highlight w:val="none"/>
          <w:lang w:eastAsia="zh-CN"/>
        </w:rPr>
        <w:t>且</w:t>
      </w:r>
      <w:r>
        <w:rPr>
          <w:rFonts w:hint="eastAsia" w:ascii="宋体" w:hAnsi="宋体"/>
          <w:sz w:val="18"/>
          <w:szCs w:val="18"/>
          <w:highlight w:val="none"/>
        </w:rPr>
        <w:t>乙方</w:t>
      </w:r>
      <w:r>
        <w:rPr>
          <w:rFonts w:hint="eastAsia" w:ascii="宋体" w:hAnsi="宋体"/>
          <w:sz w:val="18"/>
          <w:szCs w:val="18"/>
          <w:highlight w:val="none"/>
          <w:lang w:eastAsia="zh-CN"/>
        </w:rPr>
        <w:t>加</w:t>
      </w:r>
      <w:r>
        <w:rPr>
          <w:rFonts w:hint="eastAsia" w:ascii="宋体" w:hAnsi="宋体"/>
          <w:sz w:val="18"/>
          <w:szCs w:val="18"/>
          <w:highlight w:val="none"/>
        </w:rPr>
        <w:t>盖</w:t>
      </w:r>
      <w:r>
        <w:rPr>
          <w:rFonts w:hint="eastAsia" w:ascii="宋体" w:hAnsi="宋体"/>
          <w:sz w:val="18"/>
          <w:szCs w:val="18"/>
          <w:highlight w:val="none"/>
          <w:lang w:eastAsia="zh-CN"/>
        </w:rPr>
        <w:t>业务章</w:t>
      </w:r>
      <w:r>
        <w:rPr>
          <w:rFonts w:hint="eastAsia" w:ascii="宋体" w:hAnsi="宋体"/>
          <w:sz w:val="18"/>
          <w:szCs w:val="18"/>
          <w:highlight w:val="none"/>
        </w:rPr>
        <w:t>之日起成立；</w:t>
      </w:r>
      <w:r>
        <w:rPr>
          <w:rFonts w:hint="eastAsia" w:ascii="宋体" w:hAnsi="宋体"/>
          <w:b/>
          <w:bCs/>
          <w:sz w:val="18"/>
          <w:szCs w:val="18"/>
          <w:highlight w:val="none"/>
        </w:rPr>
        <w:t>本协议通过乙方网上银行、手机银行、VTM等电子渠道签署的，自甲方（自然人/机构）在电子渠道端自行点击确认后成立。</w:t>
      </w:r>
    </w:p>
    <w:p>
      <w:pPr>
        <w:ind w:firstLine="361" w:firstLineChars="200"/>
        <w:rPr>
          <w:rFonts w:ascii="宋体" w:hAnsi="宋体"/>
          <w:b/>
          <w:bCs/>
          <w:sz w:val="18"/>
          <w:szCs w:val="18"/>
          <w:highlight w:val="none"/>
        </w:rPr>
      </w:pPr>
      <w:r>
        <w:rPr>
          <w:rFonts w:hint="eastAsia" w:ascii="宋体" w:hAnsi="宋体"/>
          <w:b/>
          <w:bCs/>
          <w:sz w:val="18"/>
          <w:szCs w:val="18"/>
          <w:highlight w:val="none"/>
        </w:rPr>
        <w:t>2、本协议自成立时生效，自甲方不再持有理财产品时终止。理财产品不成立、甲方按照产品说明书约定撤单、甲方认购资金不足或账户异常导致乙方未成功扣划理财资金的，本协议自动终止。</w:t>
      </w:r>
    </w:p>
    <w:p>
      <w:pPr>
        <w:ind w:firstLine="361" w:firstLineChars="200"/>
        <w:rPr>
          <w:rFonts w:ascii="宋体" w:hAnsi="宋体"/>
          <w:b/>
          <w:bCs/>
          <w:sz w:val="18"/>
          <w:szCs w:val="18"/>
          <w:highlight w:val="none"/>
        </w:rPr>
      </w:pPr>
      <w:r>
        <w:rPr>
          <w:rFonts w:hint="eastAsia" w:ascii="宋体" w:hAnsi="宋体"/>
          <w:b/>
          <w:bCs/>
          <w:sz w:val="18"/>
          <w:szCs w:val="18"/>
          <w:highlight w:val="none"/>
        </w:rPr>
        <w:t>3、本协议未尽事宜，以《产品说明书》、《风险揭示书》、《投资者权益须知》的内容为准，本协议内容与《产品说明书》不一致的，以《产品说明书》为准。</w:t>
      </w:r>
    </w:p>
    <w:p>
      <w:pPr>
        <w:ind w:firstLine="360" w:firstLineChars="200"/>
        <w:rPr>
          <w:rFonts w:ascii="宋体" w:hAnsi="宋体"/>
          <w:sz w:val="18"/>
          <w:szCs w:val="18"/>
          <w:highlight w:val="none"/>
        </w:rPr>
      </w:pPr>
      <w:r>
        <w:rPr>
          <w:rFonts w:hint="eastAsia" w:ascii="宋体" w:hAnsi="宋体"/>
          <w:sz w:val="18"/>
          <w:szCs w:val="18"/>
          <w:highlight w:val="none"/>
        </w:rPr>
        <w:t>4、本协议仅适用于甲方向乙方购买的单笔个人/机构理财产品。不同笔理财产品协议书的效力及其履行情况相互独立。</w:t>
      </w:r>
    </w:p>
    <w:p>
      <w:pPr>
        <w:ind w:firstLine="361" w:firstLineChars="200"/>
        <w:rPr>
          <w:rFonts w:ascii="宋体" w:hAnsi="宋体"/>
          <w:b/>
          <w:bCs/>
          <w:sz w:val="18"/>
          <w:szCs w:val="18"/>
          <w:highlight w:val="none"/>
        </w:rPr>
      </w:pPr>
      <w:r>
        <w:rPr>
          <w:rFonts w:hint="eastAsia" w:ascii="宋体" w:hAnsi="宋体"/>
          <w:b/>
          <w:bCs/>
          <w:sz w:val="18"/>
          <w:szCs w:val="18"/>
          <w:highlight w:val="none"/>
        </w:rPr>
        <w:t>5、对于甲方通过乙方的网上银行、手机银行、VTM等电子渠道购买的理财产品（不受限于本产品），甲方确认其在电子渠道通过本人的登录账户点击确认为有效的签名行为，并确认乙方电子渠道的系统记录构成对甲方的操作行为（包括但不限于购买、赎回、撤单）的证据，并且在双方发生争议时可以作为合法有效的证据使用。</w:t>
      </w:r>
    </w:p>
    <w:p>
      <w:pPr>
        <w:rPr>
          <w:rFonts w:ascii="宋体" w:hAnsi="宋体"/>
          <w:b/>
          <w:bCs/>
          <w:sz w:val="18"/>
          <w:szCs w:val="18"/>
          <w:highlight w:val="none"/>
        </w:rPr>
      </w:pPr>
      <w:r>
        <w:rPr>
          <w:rFonts w:hint="eastAsia" w:ascii="宋体" w:hAnsi="宋体"/>
          <w:b/>
          <w:bCs/>
          <w:sz w:val="18"/>
          <w:szCs w:val="18"/>
          <w:highlight w:val="none"/>
        </w:rPr>
        <w:t>八、附则</w:t>
      </w:r>
    </w:p>
    <w:p>
      <w:pPr>
        <w:ind w:firstLine="361" w:firstLineChars="200"/>
        <w:rPr>
          <w:rFonts w:ascii="宋体" w:hAnsi="宋体"/>
          <w:b/>
          <w:bCs/>
          <w:sz w:val="18"/>
          <w:szCs w:val="18"/>
          <w:highlight w:val="none"/>
        </w:rPr>
      </w:pPr>
      <w:r>
        <w:rPr>
          <w:rFonts w:hint="eastAsia" w:ascii="宋体" w:hAnsi="宋体"/>
          <w:b/>
          <w:bCs/>
          <w:sz w:val="18"/>
          <w:szCs w:val="18"/>
          <w:highlight w:val="none"/>
        </w:rPr>
        <w:t>1、理财产品交易信息表（柜面购买本产品情形下）为本协议不可分割的组成部分。本协议书与《理财产品说明书》、《风险揭示书》、《投资者权益须知》共同构成完整不可分割的理财产品合同。甲方仅在详细阅读并理解本协议、《理财产品说明书》、《风险揭示书》、《投资者权益须知》全部销售文件并确认《风险揭示书》后方可签署本协议，签署本协议，即为签署理财产品合同。</w:t>
      </w:r>
    </w:p>
    <w:p>
      <w:pPr>
        <w:ind w:firstLine="360" w:firstLineChars="200"/>
        <w:rPr>
          <w:rFonts w:ascii="宋体" w:hAnsi="宋体"/>
          <w:sz w:val="18"/>
          <w:szCs w:val="18"/>
          <w:highlight w:val="none"/>
        </w:rPr>
      </w:pPr>
      <w:r>
        <w:rPr>
          <w:rFonts w:hint="eastAsia" w:ascii="宋体" w:hAnsi="宋体"/>
          <w:sz w:val="18"/>
          <w:szCs w:val="18"/>
          <w:highlight w:val="none"/>
        </w:rPr>
        <w:t>2、本协议一式两份，甲乙双方各执一份，具有同等法律效力。</w:t>
      </w:r>
    </w:p>
    <w:p>
      <w:pPr>
        <w:pBdr>
          <w:top w:val="single" w:color="auto" w:sz="4" w:space="0"/>
          <w:left w:val="single" w:color="auto" w:sz="4" w:space="0"/>
          <w:bottom w:val="single" w:color="auto" w:sz="4" w:space="0"/>
          <w:right w:val="single" w:color="auto" w:sz="4" w:space="0"/>
        </w:pBdr>
        <w:spacing w:line="320" w:lineRule="exact"/>
        <w:ind w:firstLine="422" w:firstLineChars="200"/>
        <w:rPr>
          <w:rFonts w:ascii="宋体" w:hAnsi="宋体" w:cs="宋体"/>
          <w:b/>
          <w:bCs/>
          <w:i/>
          <w:iCs/>
          <w:szCs w:val="21"/>
          <w:highlight w:val="none"/>
          <w:u w:val="single"/>
        </w:rPr>
      </w:pPr>
      <w:r>
        <w:rPr>
          <w:rFonts w:hint="eastAsia" w:ascii="宋体" w:hAnsi="宋体" w:cs="宋体"/>
          <w:b/>
          <w:bCs/>
          <w:i/>
          <w:iCs/>
          <w:szCs w:val="21"/>
          <w:highlight w:val="none"/>
          <w:u w:val="single"/>
        </w:rPr>
        <w:t>特别提示：甲方已经阅读《理财产品协议书》、《投资者权益须知》、《风险揭示书》及《理财产品说明书》所有条款，并充分了解该产品可能存在的风险情况及最不利投资情形。本产品销售机构已提请甲方特别注意以上文本约定的有关免除或减轻乙方责任，和乙方单方面拥有某些权利，以及增加甲方义务或限制甲方权利等与甲方有重大利害关系的条款，尤其是加粗、斜体、加框条款，如风险提示、最不利投资情形、甲方声明与承诺、乙方免责、争议解决、合同成立生效、信息披露、质押、产品业绩比较基准、投资范围、成立及到期、赎回、费用、估值等产品基本要素条款等，并应甲方要求进行了充分解释。</w:t>
      </w:r>
    </w:p>
    <w:p>
      <w:pPr>
        <w:pBdr>
          <w:top w:val="single" w:color="auto" w:sz="4" w:space="0"/>
          <w:left w:val="single" w:color="auto" w:sz="4" w:space="0"/>
          <w:bottom w:val="single" w:color="auto" w:sz="4" w:space="0"/>
          <w:right w:val="single" w:color="auto" w:sz="4" w:space="0"/>
        </w:pBdr>
        <w:spacing w:line="320" w:lineRule="exact"/>
        <w:rPr>
          <w:rFonts w:ascii="宋体" w:hAnsi="宋体" w:cs="宋体"/>
          <w:sz w:val="18"/>
          <w:szCs w:val="18"/>
          <w:highlight w:val="none"/>
        </w:rPr>
      </w:pPr>
    </w:p>
    <w:p>
      <w:pPr>
        <w:pBdr>
          <w:top w:val="single" w:color="auto" w:sz="4" w:space="0"/>
          <w:left w:val="single" w:color="auto" w:sz="4" w:space="0"/>
          <w:bottom w:val="single" w:color="auto" w:sz="4" w:space="0"/>
          <w:right w:val="single" w:color="auto" w:sz="4" w:space="0"/>
        </w:pBdr>
        <w:spacing w:line="320" w:lineRule="exact"/>
        <w:rPr>
          <w:rFonts w:ascii="宋体" w:hAnsi="宋体" w:cs="宋体"/>
          <w:sz w:val="18"/>
          <w:szCs w:val="18"/>
          <w:highlight w:val="none"/>
        </w:rPr>
      </w:pPr>
      <w:r>
        <w:rPr>
          <w:rFonts w:hint="eastAsia" w:ascii="宋体" w:hAnsi="宋体" w:cs="宋体"/>
          <w:sz w:val="18"/>
          <w:szCs w:val="18"/>
          <w:highlight w:val="none"/>
        </w:rPr>
        <w:t>甲方                                          乙方（</w:t>
      </w:r>
      <w:r>
        <w:rPr>
          <w:rFonts w:hint="eastAsia" w:ascii="宋体" w:hAnsi="宋体" w:cs="宋体"/>
          <w:sz w:val="18"/>
          <w:szCs w:val="18"/>
          <w:highlight w:val="none"/>
          <w:lang w:eastAsia="zh-CN"/>
        </w:rPr>
        <w:t>业务</w:t>
      </w:r>
      <w:r>
        <w:rPr>
          <w:rFonts w:hint="eastAsia" w:ascii="宋体" w:hAnsi="宋体" w:cs="宋体"/>
          <w:sz w:val="18"/>
          <w:szCs w:val="18"/>
          <w:highlight w:val="none"/>
        </w:rPr>
        <w:t>章）：</w:t>
      </w:r>
    </w:p>
    <w:p>
      <w:pPr>
        <w:pBdr>
          <w:top w:val="single" w:color="auto" w:sz="4" w:space="0"/>
          <w:left w:val="single" w:color="auto" w:sz="4" w:space="0"/>
          <w:bottom w:val="single" w:color="auto" w:sz="4" w:space="0"/>
          <w:right w:val="single" w:color="auto" w:sz="4" w:space="0"/>
        </w:pBdr>
        <w:spacing w:line="320" w:lineRule="exact"/>
        <w:rPr>
          <w:rFonts w:ascii="宋体" w:hAnsi="宋体" w:cs="宋体"/>
          <w:sz w:val="18"/>
          <w:szCs w:val="18"/>
          <w:highlight w:val="none"/>
        </w:rPr>
      </w:pPr>
      <w:r>
        <w:rPr>
          <w:rFonts w:hint="eastAsia" w:ascii="宋体" w:hAnsi="宋体" w:cs="宋体"/>
          <w:sz w:val="18"/>
          <w:szCs w:val="18"/>
          <w:highlight w:val="none"/>
        </w:rPr>
        <w:t xml:space="preserve">  机构</w:t>
      </w:r>
      <w:r>
        <w:rPr>
          <w:rFonts w:hint="eastAsia" w:ascii="宋体" w:hAnsi="宋体" w:cs="宋体"/>
          <w:sz w:val="18"/>
          <w:szCs w:val="18"/>
          <w:highlight w:val="none"/>
          <w:lang w:eastAsia="zh-CN"/>
        </w:rPr>
        <w:t>投资者</w:t>
      </w:r>
      <w:r>
        <w:rPr>
          <w:rFonts w:hint="eastAsia" w:ascii="宋体" w:hAnsi="宋体" w:cs="宋体"/>
          <w:sz w:val="18"/>
          <w:szCs w:val="18"/>
          <w:highlight w:val="none"/>
        </w:rPr>
        <w:t>（</w:t>
      </w:r>
      <w:r>
        <w:rPr>
          <w:rFonts w:hint="eastAsia" w:ascii="宋体" w:hAnsi="宋体" w:cs="宋体"/>
          <w:sz w:val="18"/>
          <w:szCs w:val="18"/>
          <w:highlight w:val="none"/>
          <w:lang w:eastAsia="zh-CN"/>
        </w:rPr>
        <w:t>预留印鉴</w:t>
      </w:r>
      <w:r>
        <w:rPr>
          <w:rFonts w:hint="eastAsia" w:ascii="宋体" w:hAnsi="宋体" w:cs="宋体"/>
          <w:sz w:val="18"/>
          <w:szCs w:val="18"/>
          <w:highlight w:val="none"/>
        </w:rPr>
        <w:t>）：</w:t>
      </w:r>
    </w:p>
    <w:p>
      <w:pPr>
        <w:pBdr>
          <w:top w:val="single" w:color="auto" w:sz="4" w:space="0"/>
          <w:left w:val="single" w:color="auto" w:sz="4" w:space="0"/>
          <w:bottom w:val="single" w:color="auto" w:sz="4" w:space="0"/>
          <w:right w:val="single" w:color="auto" w:sz="4" w:space="0"/>
        </w:pBdr>
        <w:spacing w:line="320" w:lineRule="exact"/>
        <w:rPr>
          <w:rFonts w:ascii="宋体" w:hAnsi="宋体" w:cs="宋体"/>
          <w:sz w:val="18"/>
          <w:szCs w:val="18"/>
          <w:highlight w:val="none"/>
        </w:rPr>
      </w:pPr>
    </w:p>
    <w:p>
      <w:pPr>
        <w:pBdr>
          <w:top w:val="single" w:color="auto" w:sz="4" w:space="0"/>
          <w:left w:val="single" w:color="auto" w:sz="4" w:space="0"/>
          <w:bottom w:val="single" w:color="auto" w:sz="4" w:space="0"/>
          <w:right w:val="single" w:color="auto" w:sz="4" w:space="0"/>
        </w:pBdr>
        <w:spacing w:line="320" w:lineRule="exact"/>
        <w:rPr>
          <w:rFonts w:ascii="宋体" w:hAnsi="宋体" w:cs="宋体"/>
          <w:sz w:val="18"/>
          <w:szCs w:val="18"/>
          <w:highlight w:val="none"/>
        </w:rPr>
      </w:pPr>
      <w:r>
        <w:rPr>
          <w:rFonts w:hint="eastAsia" w:ascii="宋体" w:hAnsi="宋体" w:cs="宋体"/>
          <w:sz w:val="18"/>
          <w:szCs w:val="18"/>
          <w:highlight w:val="none"/>
        </w:rPr>
        <w:t xml:space="preserve">  个人</w:t>
      </w:r>
      <w:r>
        <w:rPr>
          <w:rFonts w:hint="eastAsia" w:ascii="宋体" w:hAnsi="宋体" w:cs="宋体"/>
          <w:sz w:val="18"/>
          <w:szCs w:val="18"/>
          <w:highlight w:val="none"/>
          <w:lang w:eastAsia="zh-CN"/>
        </w:rPr>
        <w:t>投资者</w:t>
      </w:r>
      <w:r>
        <w:rPr>
          <w:rFonts w:hint="eastAsia" w:ascii="宋体" w:hAnsi="宋体" w:cs="宋体"/>
          <w:sz w:val="18"/>
          <w:szCs w:val="18"/>
          <w:highlight w:val="none"/>
        </w:rPr>
        <w:t>（签名</w:t>
      </w:r>
      <w:r>
        <w:rPr>
          <w:rFonts w:hint="eastAsia" w:ascii="宋体" w:hAnsi="宋体" w:cs="宋体"/>
          <w:sz w:val="18"/>
          <w:szCs w:val="18"/>
          <w:highlight w:val="none"/>
          <w:lang w:eastAsia="zh-CN"/>
        </w:rPr>
        <w:t>或按指印</w:t>
      </w:r>
      <w:r>
        <w:rPr>
          <w:rFonts w:hint="eastAsia" w:ascii="宋体" w:hAnsi="宋体" w:cs="宋体"/>
          <w:sz w:val="18"/>
          <w:szCs w:val="18"/>
          <w:highlight w:val="none"/>
        </w:rPr>
        <w:t>）：</w:t>
      </w:r>
    </w:p>
    <w:p>
      <w:pPr>
        <w:pBdr>
          <w:top w:val="single" w:color="auto" w:sz="4" w:space="0"/>
          <w:left w:val="single" w:color="auto" w:sz="4" w:space="0"/>
          <w:bottom w:val="single" w:color="auto" w:sz="4" w:space="0"/>
          <w:right w:val="single" w:color="auto" w:sz="4" w:space="0"/>
        </w:pBdr>
        <w:spacing w:line="320" w:lineRule="exact"/>
        <w:rPr>
          <w:rFonts w:ascii="宋体" w:hAnsi="宋体" w:cs="宋体"/>
          <w:sz w:val="18"/>
          <w:szCs w:val="18"/>
          <w:highlight w:val="none"/>
        </w:rPr>
      </w:pPr>
    </w:p>
    <w:p>
      <w:pPr>
        <w:pBdr>
          <w:top w:val="single" w:color="auto" w:sz="4" w:space="0"/>
          <w:left w:val="single" w:color="auto" w:sz="4" w:space="0"/>
          <w:bottom w:val="single" w:color="auto" w:sz="4" w:space="0"/>
          <w:right w:val="single" w:color="auto" w:sz="4" w:space="0"/>
        </w:pBdr>
        <w:spacing w:beforeLines="0" w:line="320" w:lineRule="exact"/>
        <w:rPr>
          <w:rFonts w:ascii="Times New Roman" w:hAnsi="Times New Roman" w:eastAsia="楷体_GB2312"/>
          <w:highlight w:val="none"/>
        </w:rPr>
      </w:pPr>
      <w:r>
        <w:rPr>
          <w:rFonts w:hint="eastAsia" w:ascii="宋体" w:hAnsi="宋体" w:cs="宋体"/>
          <w:sz w:val="18"/>
          <w:szCs w:val="18"/>
          <w:highlight w:val="none"/>
        </w:rPr>
        <w:t xml:space="preserve">  日期：                                        日期：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w:fldChar w:fldCharType="begin"/>
    </w:r>
    <w:r>
      <w:rPr>
        <w:sz w:val="21"/>
      </w:rPr>
      <w:instrText xml:space="preserve">PAGE   \* MERGEFORMAT</w:instrText>
    </w:r>
    <w:r>
      <w:rPr>
        <w:sz w:val="21"/>
      </w:rP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608C"/>
    <w:multiLevelType w:val="multilevel"/>
    <w:tmpl w:val="5BD6608C"/>
    <w:lvl w:ilvl="0" w:tentative="0">
      <w:start w:val="1"/>
      <w:numFmt w:val="bullet"/>
      <w:lvlText w:val=""/>
      <w:lvlJc w:val="left"/>
      <w:pPr>
        <w:tabs>
          <w:tab w:val="left" w:pos="0"/>
        </w:tabs>
        <w:ind w:left="227" w:hanging="227"/>
      </w:pPr>
      <w:rPr>
        <w:rFonts w:hint="default" w:ascii="Wingdings" w:hAnsi="Wingdings"/>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D1DB872"/>
    <w:multiLevelType w:val="singleLevel"/>
    <w:tmpl w:val="5D1DB872"/>
    <w:lvl w:ilvl="0" w:tentative="0">
      <w:start w:val="1"/>
      <w:numFmt w:val="decimal"/>
      <w:suff w:val="nothing"/>
      <w:lvlText w:val="%1、"/>
      <w:lvlJc w:val="left"/>
    </w:lvl>
  </w:abstractNum>
  <w:abstractNum w:abstractNumId="2">
    <w:nsid w:val="5E79D715"/>
    <w:multiLevelType w:val="singleLevel"/>
    <w:tmpl w:val="5E79D71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1A1"/>
    <w:rsid w:val="00114FA6"/>
    <w:rsid w:val="00172A27"/>
    <w:rsid w:val="0032792B"/>
    <w:rsid w:val="00420E7C"/>
    <w:rsid w:val="00432D8C"/>
    <w:rsid w:val="004F0192"/>
    <w:rsid w:val="005139C6"/>
    <w:rsid w:val="00540E94"/>
    <w:rsid w:val="005B0721"/>
    <w:rsid w:val="005E539B"/>
    <w:rsid w:val="006C5422"/>
    <w:rsid w:val="0070129D"/>
    <w:rsid w:val="0071190C"/>
    <w:rsid w:val="008E4E60"/>
    <w:rsid w:val="008F0F7B"/>
    <w:rsid w:val="00945403"/>
    <w:rsid w:val="00A019A2"/>
    <w:rsid w:val="00B036AE"/>
    <w:rsid w:val="00B32A9D"/>
    <w:rsid w:val="00CF2C09"/>
    <w:rsid w:val="00D20247"/>
    <w:rsid w:val="00D61C4E"/>
    <w:rsid w:val="00D97701"/>
    <w:rsid w:val="00E83C3F"/>
    <w:rsid w:val="00F21418"/>
    <w:rsid w:val="00F42024"/>
    <w:rsid w:val="00FE0196"/>
    <w:rsid w:val="00FE7031"/>
    <w:rsid w:val="01163DF8"/>
    <w:rsid w:val="016938E4"/>
    <w:rsid w:val="01A45885"/>
    <w:rsid w:val="01C66864"/>
    <w:rsid w:val="02522DDA"/>
    <w:rsid w:val="02595FE8"/>
    <w:rsid w:val="02607B71"/>
    <w:rsid w:val="02705C0D"/>
    <w:rsid w:val="028C553E"/>
    <w:rsid w:val="02BA4D88"/>
    <w:rsid w:val="02BF340E"/>
    <w:rsid w:val="02C83F07"/>
    <w:rsid w:val="031F252E"/>
    <w:rsid w:val="03395BE6"/>
    <w:rsid w:val="036C6DAA"/>
    <w:rsid w:val="03716AB5"/>
    <w:rsid w:val="03C50D68"/>
    <w:rsid w:val="03F20308"/>
    <w:rsid w:val="03FA7913"/>
    <w:rsid w:val="0401729D"/>
    <w:rsid w:val="04593E89"/>
    <w:rsid w:val="04731C1E"/>
    <w:rsid w:val="048707FB"/>
    <w:rsid w:val="048C341D"/>
    <w:rsid w:val="04976897"/>
    <w:rsid w:val="04AF1BEB"/>
    <w:rsid w:val="04CC787F"/>
    <w:rsid w:val="04CF69F1"/>
    <w:rsid w:val="05161364"/>
    <w:rsid w:val="05735C71"/>
    <w:rsid w:val="05831998"/>
    <w:rsid w:val="059D1AFF"/>
    <w:rsid w:val="05A531D1"/>
    <w:rsid w:val="05A766D5"/>
    <w:rsid w:val="05FE3860"/>
    <w:rsid w:val="060D2496"/>
    <w:rsid w:val="06223E20"/>
    <w:rsid w:val="062B472F"/>
    <w:rsid w:val="06A665F7"/>
    <w:rsid w:val="06AE3323"/>
    <w:rsid w:val="06B6300F"/>
    <w:rsid w:val="06DB57CD"/>
    <w:rsid w:val="06FC1585"/>
    <w:rsid w:val="07100225"/>
    <w:rsid w:val="07127506"/>
    <w:rsid w:val="071A2D33"/>
    <w:rsid w:val="076F023F"/>
    <w:rsid w:val="07771966"/>
    <w:rsid w:val="078E0D01"/>
    <w:rsid w:val="07D50761"/>
    <w:rsid w:val="07E91693"/>
    <w:rsid w:val="07F01A92"/>
    <w:rsid w:val="08296773"/>
    <w:rsid w:val="084E56AE"/>
    <w:rsid w:val="0860304A"/>
    <w:rsid w:val="087E3C7F"/>
    <w:rsid w:val="089538A4"/>
    <w:rsid w:val="08E36146"/>
    <w:rsid w:val="090C4ACB"/>
    <w:rsid w:val="092F499C"/>
    <w:rsid w:val="0944208B"/>
    <w:rsid w:val="094B7B50"/>
    <w:rsid w:val="09572296"/>
    <w:rsid w:val="0A064A00"/>
    <w:rsid w:val="0A34424A"/>
    <w:rsid w:val="0A54477F"/>
    <w:rsid w:val="0A8C015C"/>
    <w:rsid w:val="0AF05C82"/>
    <w:rsid w:val="0AF5210A"/>
    <w:rsid w:val="0B067E26"/>
    <w:rsid w:val="0B154BBD"/>
    <w:rsid w:val="0B2E1EE3"/>
    <w:rsid w:val="0B394BAE"/>
    <w:rsid w:val="0B8421AA"/>
    <w:rsid w:val="0BD11CF6"/>
    <w:rsid w:val="0BF7192C"/>
    <w:rsid w:val="0C4A13B6"/>
    <w:rsid w:val="0C4F3640"/>
    <w:rsid w:val="0C8336FF"/>
    <w:rsid w:val="0CB258E3"/>
    <w:rsid w:val="0CBD018E"/>
    <w:rsid w:val="0CC72AF1"/>
    <w:rsid w:val="0D042E0C"/>
    <w:rsid w:val="0D142104"/>
    <w:rsid w:val="0D886840"/>
    <w:rsid w:val="0E0A6D59"/>
    <w:rsid w:val="0E887A67"/>
    <w:rsid w:val="0E9128F5"/>
    <w:rsid w:val="0EE73304"/>
    <w:rsid w:val="0EF44B98"/>
    <w:rsid w:val="0F347B80"/>
    <w:rsid w:val="0F36413A"/>
    <w:rsid w:val="0F796FF0"/>
    <w:rsid w:val="0FBF5566"/>
    <w:rsid w:val="10352FA6"/>
    <w:rsid w:val="10476743"/>
    <w:rsid w:val="104C098D"/>
    <w:rsid w:val="10523099"/>
    <w:rsid w:val="10663775"/>
    <w:rsid w:val="10686C78"/>
    <w:rsid w:val="108465A8"/>
    <w:rsid w:val="1114505F"/>
    <w:rsid w:val="1155307D"/>
    <w:rsid w:val="11BF68D4"/>
    <w:rsid w:val="11EB719B"/>
    <w:rsid w:val="11F363FF"/>
    <w:rsid w:val="11F67383"/>
    <w:rsid w:val="12072C16"/>
    <w:rsid w:val="123D5579"/>
    <w:rsid w:val="12645057"/>
    <w:rsid w:val="12B719C0"/>
    <w:rsid w:val="12DC417E"/>
    <w:rsid w:val="12EE791C"/>
    <w:rsid w:val="131961E1"/>
    <w:rsid w:val="1324634C"/>
    <w:rsid w:val="133D68E3"/>
    <w:rsid w:val="136E36ED"/>
    <w:rsid w:val="13771DFE"/>
    <w:rsid w:val="137E0700"/>
    <w:rsid w:val="1382238D"/>
    <w:rsid w:val="13861F4A"/>
    <w:rsid w:val="13AC4857"/>
    <w:rsid w:val="13B41C63"/>
    <w:rsid w:val="13BF197D"/>
    <w:rsid w:val="13CF063B"/>
    <w:rsid w:val="13DF4CA5"/>
    <w:rsid w:val="13F77FDB"/>
    <w:rsid w:val="14166484"/>
    <w:rsid w:val="1453518A"/>
    <w:rsid w:val="14A93475"/>
    <w:rsid w:val="14AC0B76"/>
    <w:rsid w:val="14B20501"/>
    <w:rsid w:val="1510710F"/>
    <w:rsid w:val="152F114F"/>
    <w:rsid w:val="15885061"/>
    <w:rsid w:val="15D476DF"/>
    <w:rsid w:val="15EA0226"/>
    <w:rsid w:val="167E18EE"/>
    <w:rsid w:val="167E200A"/>
    <w:rsid w:val="16813B52"/>
    <w:rsid w:val="16B1092D"/>
    <w:rsid w:val="16BC6358"/>
    <w:rsid w:val="16E06917"/>
    <w:rsid w:val="16E25CCC"/>
    <w:rsid w:val="17131B1E"/>
    <w:rsid w:val="1744663C"/>
    <w:rsid w:val="17756DB7"/>
    <w:rsid w:val="17B111EE"/>
    <w:rsid w:val="17C0636B"/>
    <w:rsid w:val="180F7009"/>
    <w:rsid w:val="184503DD"/>
    <w:rsid w:val="188B0B51"/>
    <w:rsid w:val="18A62A00"/>
    <w:rsid w:val="18D80C51"/>
    <w:rsid w:val="19376A6C"/>
    <w:rsid w:val="194F7996"/>
    <w:rsid w:val="19601E2E"/>
    <w:rsid w:val="19614701"/>
    <w:rsid w:val="19781276"/>
    <w:rsid w:val="197C5EDB"/>
    <w:rsid w:val="198F297E"/>
    <w:rsid w:val="19A2611B"/>
    <w:rsid w:val="19BA37C2"/>
    <w:rsid w:val="19FC698A"/>
    <w:rsid w:val="1AAE7552"/>
    <w:rsid w:val="1AC31A76"/>
    <w:rsid w:val="1B1736FE"/>
    <w:rsid w:val="1BE475CF"/>
    <w:rsid w:val="1BFC2A77"/>
    <w:rsid w:val="1C0505DD"/>
    <w:rsid w:val="1C723D3B"/>
    <w:rsid w:val="1CBB7632"/>
    <w:rsid w:val="1CC57F42"/>
    <w:rsid w:val="1D116D3C"/>
    <w:rsid w:val="1D316A46"/>
    <w:rsid w:val="1D353A79"/>
    <w:rsid w:val="1D3D4708"/>
    <w:rsid w:val="1D4D111F"/>
    <w:rsid w:val="1D553FAD"/>
    <w:rsid w:val="1DA76336"/>
    <w:rsid w:val="1DAA72BB"/>
    <w:rsid w:val="1DE339C7"/>
    <w:rsid w:val="1E0972D4"/>
    <w:rsid w:val="1E3B5525"/>
    <w:rsid w:val="1E3D518A"/>
    <w:rsid w:val="1E516AF9"/>
    <w:rsid w:val="1EA416D1"/>
    <w:rsid w:val="1EA75ED9"/>
    <w:rsid w:val="1EBC25FB"/>
    <w:rsid w:val="1EC7098C"/>
    <w:rsid w:val="1ED46DF9"/>
    <w:rsid w:val="1F5275D0"/>
    <w:rsid w:val="1F72339C"/>
    <w:rsid w:val="1F784F2C"/>
    <w:rsid w:val="1FA0529E"/>
    <w:rsid w:val="1FC93676"/>
    <w:rsid w:val="1FD146C1"/>
    <w:rsid w:val="1FE245DC"/>
    <w:rsid w:val="1FF535FC"/>
    <w:rsid w:val="1FF57D57"/>
    <w:rsid w:val="2033102E"/>
    <w:rsid w:val="203D39F0"/>
    <w:rsid w:val="20816A63"/>
    <w:rsid w:val="20AC5B7C"/>
    <w:rsid w:val="20AF2A2B"/>
    <w:rsid w:val="20B31904"/>
    <w:rsid w:val="20E21F80"/>
    <w:rsid w:val="21097C41"/>
    <w:rsid w:val="21533539"/>
    <w:rsid w:val="216F2E69"/>
    <w:rsid w:val="21AF5E51"/>
    <w:rsid w:val="21C21E4C"/>
    <w:rsid w:val="21CA447C"/>
    <w:rsid w:val="220358DB"/>
    <w:rsid w:val="2216237D"/>
    <w:rsid w:val="2237702E"/>
    <w:rsid w:val="22395DB5"/>
    <w:rsid w:val="22703D10"/>
    <w:rsid w:val="227F0AA8"/>
    <w:rsid w:val="228E7A3D"/>
    <w:rsid w:val="22C01511"/>
    <w:rsid w:val="22D556FE"/>
    <w:rsid w:val="22E5740C"/>
    <w:rsid w:val="22FE6DF7"/>
    <w:rsid w:val="232118BE"/>
    <w:rsid w:val="23815D4C"/>
    <w:rsid w:val="23944D6C"/>
    <w:rsid w:val="23AB7430"/>
    <w:rsid w:val="23AD2098"/>
    <w:rsid w:val="23AF3398"/>
    <w:rsid w:val="23BE1434"/>
    <w:rsid w:val="240308A3"/>
    <w:rsid w:val="24061828"/>
    <w:rsid w:val="246650C5"/>
    <w:rsid w:val="246E5D54"/>
    <w:rsid w:val="24955C14"/>
    <w:rsid w:val="24970992"/>
    <w:rsid w:val="24971117"/>
    <w:rsid w:val="24AE0D3C"/>
    <w:rsid w:val="24EC69D4"/>
    <w:rsid w:val="25194B68"/>
    <w:rsid w:val="25207896"/>
    <w:rsid w:val="25A40DB9"/>
    <w:rsid w:val="25D4529B"/>
    <w:rsid w:val="25D6079F"/>
    <w:rsid w:val="25DA2A28"/>
    <w:rsid w:val="25F71FD8"/>
    <w:rsid w:val="2603166E"/>
    <w:rsid w:val="2626288C"/>
    <w:rsid w:val="26293DC9"/>
    <w:rsid w:val="268121BE"/>
    <w:rsid w:val="2699215D"/>
    <w:rsid w:val="26BA0E2E"/>
    <w:rsid w:val="26D20A42"/>
    <w:rsid w:val="2709648F"/>
    <w:rsid w:val="271E783C"/>
    <w:rsid w:val="272372B9"/>
    <w:rsid w:val="2726293C"/>
    <w:rsid w:val="272F691B"/>
    <w:rsid w:val="27401076"/>
    <w:rsid w:val="27470E2A"/>
    <w:rsid w:val="276002E9"/>
    <w:rsid w:val="27C4384D"/>
    <w:rsid w:val="280A26EF"/>
    <w:rsid w:val="28312B7C"/>
    <w:rsid w:val="285B7244"/>
    <w:rsid w:val="28645955"/>
    <w:rsid w:val="287C7778"/>
    <w:rsid w:val="288A43C4"/>
    <w:rsid w:val="288D770C"/>
    <w:rsid w:val="28BA505F"/>
    <w:rsid w:val="28CA0B7C"/>
    <w:rsid w:val="28D45C09"/>
    <w:rsid w:val="28DC0A97"/>
    <w:rsid w:val="2920133D"/>
    <w:rsid w:val="293272A7"/>
    <w:rsid w:val="293438FF"/>
    <w:rsid w:val="295377DC"/>
    <w:rsid w:val="29716B14"/>
    <w:rsid w:val="29BF0403"/>
    <w:rsid w:val="29CC3C22"/>
    <w:rsid w:val="29CC56EF"/>
    <w:rsid w:val="2A0E468C"/>
    <w:rsid w:val="2A35454B"/>
    <w:rsid w:val="2A7A5C6B"/>
    <w:rsid w:val="2A8E38E5"/>
    <w:rsid w:val="2AC73A2C"/>
    <w:rsid w:val="2AD15A4E"/>
    <w:rsid w:val="2AD25304"/>
    <w:rsid w:val="2B107731"/>
    <w:rsid w:val="2B511820"/>
    <w:rsid w:val="2B8F1305"/>
    <w:rsid w:val="2B970FFD"/>
    <w:rsid w:val="2B971F94"/>
    <w:rsid w:val="2BC519E1"/>
    <w:rsid w:val="2BC94961"/>
    <w:rsid w:val="2BF854B1"/>
    <w:rsid w:val="2BFD1938"/>
    <w:rsid w:val="2BFF4E3C"/>
    <w:rsid w:val="2C0F0ECC"/>
    <w:rsid w:val="2C6654BB"/>
    <w:rsid w:val="2C673566"/>
    <w:rsid w:val="2CDA57EF"/>
    <w:rsid w:val="2CFB185B"/>
    <w:rsid w:val="2D126534"/>
    <w:rsid w:val="2DB24FF5"/>
    <w:rsid w:val="2DD015F8"/>
    <w:rsid w:val="2DD64A42"/>
    <w:rsid w:val="2E02460C"/>
    <w:rsid w:val="2E295B1D"/>
    <w:rsid w:val="2E2E50EE"/>
    <w:rsid w:val="2E7013BD"/>
    <w:rsid w:val="2EAA365A"/>
    <w:rsid w:val="2F0F5A43"/>
    <w:rsid w:val="2F1156C3"/>
    <w:rsid w:val="2F631C4A"/>
    <w:rsid w:val="2F6E5A5D"/>
    <w:rsid w:val="2F8557A0"/>
    <w:rsid w:val="2F8C379B"/>
    <w:rsid w:val="2F932F1C"/>
    <w:rsid w:val="2FAF42C8"/>
    <w:rsid w:val="2FCA6176"/>
    <w:rsid w:val="2FDC2E97"/>
    <w:rsid w:val="30112066"/>
    <w:rsid w:val="301E5C00"/>
    <w:rsid w:val="303C77ED"/>
    <w:rsid w:val="305F1EED"/>
    <w:rsid w:val="30C62B96"/>
    <w:rsid w:val="30C70618"/>
    <w:rsid w:val="30CB379B"/>
    <w:rsid w:val="30E44980"/>
    <w:rsid w:val="31470B66"/>
    <w:rsid w:val="315073C8"/>
    <w:rsid w:val="319174DB"/>
    <w:rsid w:val="31C1418F"/>
    <w:rsid w:val="31CF55C7"/>
    <w:rsid w:val="31D574D0"/>
    <w:rsid w:val="31E01E4A"/>
    <w:rsid w:val="321E3A71"/>
    <w:rsid w:val="323474E9"/>
    <w:rsid w:val="32406B7F"/>
    <w:rsid w:val="32471097"/>
    <w:rsid w:val="32530EA6"/>
    <w:rsid w:val="325F64E2"/>
    <w:rsid w:val="32706C6D"/>
    <w:rsid w:val="32B9402B"/>
    <w:rsid w:val="32CF7D10"/>
    <w:rsid w:val="330E4C4E"/>
    <w:rsid w:val="337F544F"/>
    <w:rsid w:val="33835F12"/>
    <w:rsid w:val="33995EB7"/>
    <w:rsid w:val="33A05842"/>
    <w:rsid w:val="3407355D"/>
    <w:rsid w:val="3447416A"/>
    <w:rsid w:val="34552D0B"/>
    <w:rsid w:val="34777AA4"/>
    <w:rsid w:val="34C610EB"/>
    <w:rsid w:val="34C630A6"/>
    <w:rsid w:val="34C65624"/>
    <w:rsid w:val="34F13EEA"/>
    <w:rsid w:val="34FB20DE"/>
    <w:rsid w:val="354701D2"/>
    <w:rsid w:val="355A2295"/>
    <w:rsid w:val="3560329B"/>
    <w:rsid w:val="35EE2B08"/>
    <w:rsid w:val="36093226"/>
    <w:rsid w:val="365F7944"/>
    <w:rsid w:val="36A622B7"/>
    <w:rsid w:val="36DB733B"/>
    <w:rsid w:val="370B41DA"/>
    <w:rsid w:val="37504CCE"/>
    <w:rsid w:val="37587B5C"/>
    <w:rsid w:val="376450F9"/>
    <w:rsid w:val="37743C09"/>
    <w:rsid w:val="37910FBB"/>
    <w:rsid w:val="37941F3F"/>
    <w:rsid w:val="37B855F7"/>
    <w:rsid w:val="37C4140A"/>
    <w:rsid w:val="37CF66FB"/>
    <w:rsid w:val="382736AC"/>
    <w:rsid w:val="382D55B6"/>
    <w:rsid w:val="385122F2"/>
    <w:rsid w:val="38643F61"/>
    <w:rsid w:val="38760286"/>
    <w:rsid w:val="38892AFF"/>
    <w:rsid w:val="38980E5D"/>
    <w:rsid w:val="389B5BEA"/>
    <w:rsid w:val="38BE0728"/>
    <w:rsid w:val="38D45F4B"/>
    <w:rsid w:val="395545FE"/>
    <w:rsid w:val="39594D23"/>
    <w:rsid w:val="397309C9"/>
    <w:rsid w:val="39B12734"/>
    <w:rsid w:val="39BA6041"/>
    <w:rsid w:val="39DD52FC"/>
    <w:rsid w:val="39EC26A8"/>
    <w:rsid w:val="3A0E134F"/>
    <w:rsid w:val="3A3A1E13"/>
    <w:rsid w:val="3A476F2A"/>
    <w:rsid w:val="3A5926C8"/>
    <w:rsid w:val="3A7B3A0C"/>
    <w:rsid w:val="3ABD5C6F"/>
    <w:rsid w:val="3ADA21E5"/>
    <w:rsid w:val="3B0350DF"/>
    <w:rsid w:val="3B0911E6"/>
    <w:rsid w:val="3B173D7F"/>
    <w:rsid w:val="3B181801"/>
    <w:rsid w:val="3B233415"/>
    <w:rsid w:val="3B2A4F9E"/>
    <w:rsid w:val="3B2B1B53"/>
    <w:rsid w:val="3B8043E8"/>
    <w:rsid w:val="3BF66C71"/>
    <w:rsid w:val="3C2B0F01"/>
    <w:rsid w:val="3C3876DA"/>
    <w:rsid w:val="3C7557C8"/>
    <w:rsid w:val="3CC74357"/>
    <w:rsid w:val="3CC94A4B"/>
    <w:rsid w:val="3CCE0ED2"/>
    <w:rsid w:val="3CE81A7C"/>
    <w:rsid w:val="3CF84295"/>
    <w:rsid w:val="3CFA1996"/>
    <w:rsid w:val="3D1B574E"/>
    <w:rsid w:val="3D212BF2"/>
    <w:rsid w:val="3D336678"/>
    <w:rsid w:val="3D833E79"/>
    <w:rsid w:val="3DB94353"/>
    <w:rsid w:val="3DC448E2"/>
    <w:rsid w:val="3E453F37"/>
    <w:rsid w:val="3E47059E"/>
    <w:rsid w:val="3EA31D52"/>
    <w:rsid w:val="3EA861DA"/>
    <w:rsid w:val="3EDB1EAC"/>
    <w:rsid w:val="3EED3D17"/>
    <w:rsid w:val="3EF055B6"/>
    <w:rsid w:val="3F0377ED"/>
    <w:rsid w:val="3F127E08"/>
    <w:rsid w:val="3F2A1578"/>
    <w:rsid w:val="3F32613E"/>
    <w:rsid w:val="3F3531B4"/>
    <w:rsid w:val="3F4243DB"/>
    <w:rsid w:val="3F5838EA"/>
    <w:rsid w:val="3F9B22EA"/>
    <w:rsid w:val="3F9C44E8"/>
    <w:rsid w:val="3FF0290D"/>
    <w:rsid w:val="3FF15277"/>
    <w:rsid w:val="40252881"/>
    <w:rsid w:val="403768E5"/>
    <w:rsid w:val="406B713F"/>
    <w:rsid w:val="40903AFC"/>
    <w:rsid w:val="409F0893"/>
    <w:rsid w:val="40A5279C"/>
    <w:rsid w:val="412E5A02"/>
    <w:rsid w:val="41767A62"/>
    <w:rsid w:val="41AB7ACC"/>
    <w:rsid w:val="41B225B7"/>
    <w:rsid w:val="41B8355E"/>
    <w:rsid w:val="41D00C05"/>
    <w:rsid w:val="41EC3DB8"/>
    <w:rsid w:val="420E1D6F"/>
    <w:rsid w:val="42120AEB"/>
    <w:rsid w:val="424C1B51"/>
    <w:rsid w:val="425E4C6A"/>
    <w:rsid w:val="42A606D7"/>
    <w:rsid w:val="42B84786"/>
    <w:rsid w:val="42BC538A"/>
    <w:rsid w:val="42BE4111"/>
    <w:rsid w:val="42F25864"/>
    <w:rsid w:val="42F93B25"/>
    <w:rsid w:val="42FB06F2"/>
    <w:rsid w:val="430C74C5"/>
    <w:rsid w:val="43A97591"/>
    <w:rsid w:val="43C26E36"/>
    <w:rsid w:val="43CC7746"/>
    <w:rsid w:val="43F61C0F"/>
    <w:rsid w:val="442510D9"/>
    <w:rsid w:val="44616D40"/>
    <w:rsid w:val="44970113"/>
    <w:rsid w:val="44DF42E3"/>
    <w:rsid w:val="44F3082D"/>
    <w:rsid w:val="451D4EF5"/>
    <w:rsid w:val="45290D07"/>
    <w:rsid w:val="4552347C"/>
    <w:rsid w:val="45742080"/>
    <w:rsid w:val="45876B22"/>
    <w:rsid w:val="459019B0"/>
    <w:rsid w:val="45BB49F3"/>
    <w:rsid w:val="45CA2A8F"/>
    <w:rsid w:val="45CC5F92"/>
    <w:rsid w:val="45E30135"/>
    <w:rsid w:val="45EC1C6D"/>
    <w:rsid w:val="461E3FE4"/>
    <w:rsid w:val="463F5519"/>
    <w:rsid w:val="46422D3A"/>
    <w:rsid w:val="46563AC8"/>
    <w:rsid w:val="465F0D84"/>
    <w:rsid w:val="46810BDB"/>
    <w:rsid w:val="46C23027"/>
    <w:rsid w:val="473E7988"/>
    <w:rsid w:val="47430FF6"/>
    <w:rsid w:val="476D7C3C"/>
    <w:rsid w:val="476E3D01"/>
    <w:rsid w:val="47A94243"/>
    <w:rsid w:val="47BD0CC0"/>
    <w:rsid w:val="47C77051"/>
    <w:rsid w:val="47DE725C"/>
    <w:rsid w:val="47EF6769"/>
    <w:rsid w:val="48092728"/>
    <w:rsid w:val="487E54FB"/>
    <w:rsid w:val="488008C7"/>
    <w:rsid w:val="48A60C3E"/>
    <w:rsid w:val="49115D6F"/>
    <w:rsid w:val="491E2E86"/>
    <w:rsid w:val="4924162A"/>
    <w:rsid w:val="4939554D"/>
    <w:rsid w:val="49B642FE"/>
    <w:rsid w:val="49E2286F"/>
    <w:rsid w:val="49FA2ACF"/>
    <w:rsid w:val="4A091A01"/>
    <w:rsid w:val="4A0E596F"/>
    <w:rsid w:val="4A3A210B"/>
    <w:rsid w:val="4A8920D8"/>
    <w:rsid w:val="4AB04516"/>
    <w:rsid w:val="4ADD62DF"/>
    <w:rsid w:val="4B270CDD"/>
    <w:rsid w:val="4B3F0609"/>
    <w:rsid w:val="4B433B89"/>
    <w:rsid w:val="4B4B2196"/>
    <w:rsid w:val="4B5830F9"/>
    <w:rsid w:val="4B5A7CCA"/>
    <w:rsid w:val="4BC6625C"/>
    <w:rsid w:val="4C025EC5"/>
    <w:rsid w:val="4C1B6FEB"/>
    <w:rsid w:val="4C2A1804"/>
    <w:rsid w:val="4C4C77BA"/>
    <w:rsid w:val="4C5713CF"/>
    <w:rsid w:val="4C694B6C"/>
    <w:rsid w:val="4CA14CC6"/>
    <w:rsid w:val="4CEB7908"/>
    <w:rsid w:val="4CF259CA"/>
    <w:rsid w:val="4CF71E51"/>
    <w:rsid w:val="4D8E364A"/>
    <w:rsid w:val="4D9A0766"/>
    <w:rsid w:val="4DA46089"/>
    <w:rsid w:val="4DA954F8"/>
    <w:rsid w:val="4DBC6B74"/>
    <w:rsid w:val="4DDB410B"/>
    <w:rsid w:val="4E3450DC"/>
    <w:rsid w:val="4E4F3708"/>
    <w:rsid w:val="4EBF2AC2"/>
    <w:rsid w:val="4EE22C77"/>
    <w:rsid w:val="4EEF5810"/>
    <w:rsid w:val="4F1E08DD"/>
    <w:rsid w:val="4F2F7D53"/>
    <w:rsid w:val="4F3471FE"/>
    <w:rsid w:val="4F43529A"/>
    <w:rsid w:val="4F470BA3"/>
    <w:rsid w:val="4F480924"/>
    <w:rsid w:val="4F7D08F7"/>
    <w:rsid w:val="4F932A9A"/>
    <w:rsid w:val="4F932FB1"/>
    <w:rsid w:val="4FA5088A"/>
    <w:rsid w:val="4FBF4BE3"/>
    <w:rsid w:val="4FC4608F"/>
    <w:rsid w:val="4FD4108E"/>
    <w:rsid w:val="508C2CB2"/>
    <w:rsid w:val="50AB3567"/>
    <w:rsid w:val="50AC17E3"/>
    <w:rsid w:val="50D224AE"/>
    <w:rsid w:val="50DF2ABC"/>
    <w:rsid w:val="50E87B49"/>
    <w:rsid w:val="50FB45EB"/>
    <w:rsid w:val="5104232B"/>
    <w:rsid w:val="5121482B"/>
    <w:rsid w:val="51465964"/>
    <w:rsid w:val="515371F8"/>
    <w:rsid w:val="51563A00"/>
    <w:rsid w:val="517819B6"/>
    <w:rsid w:val="5187683D"/>
    <w:rsid w:val="51AE7F80"/>
    <w:rsid w:val="51D307DB"/>
    <w:rsid w:val="521066B1"/>
    <w:rsid w:val="52272A53"/>
    <w:rsid w:val="52327994"/>
    <w:rsid w:val="523E05A7"/>
    <w:rsid w:val="528256EC"/>
    <w:rsid w:val="529C39FF"/>
    <w:rsid w:val="52A96D21"/>
    <w:rsid w:val="53782BE3"/>
    <w:rsid w:val="537E210B"/>
    <w:rsid w:val="53D10891"/>
    <w:rsid w:val="53DA11A0"/>
    <w:rsid w:val="53EB5941"/>
    <w:rsid w:val="53ED01C1"/>
    <w:rsid w:val="54163583"/>
    <w:rsid w:val="552114B7"/>
    <w:rsid w:val="55345F5A"/>
    <w:rsid w:val="553A7E63"/>
    <w:rsid w:val="55506783"/>
    <w:rsid w:val="557E7653"/>
    <w:rsid w:val="559E7B87"/>
    <w:rsid w:val="55A45032"/>
    <w:rsid w:val="55AE23A0"/>
    <w:rsid w:val="55B84EAE"/>
    <w:rsid w:val="56037829"/>
    <w:rsid w:val="565109F9"/>
    <w:rsid w:val="56966EFD"/>
    <w:rsid w:val="569931E3"/>
    <w:rsid w:val="56C20BE3"/>
    <w:rsid w:val="57476390"/>
    <w:rsid w:val="574D2D46"/>
    <w:rsid w:val="57692676"/>
    <w:rsid w:val="57753F0A"/>
    <w:rsid w:val="578909AC"/>
    <w:rsid w:val="579639CB"/>
    <w:rsid w:val="57A4428F"/>
    <w:rsid w:val="57A46FD8"/>
    <w:rsid w:val="57C93994"/>
    <w:rsid w:val="580018F0"/>
    <w:rsid w:val="582043A3"/>
    <w:rsid w:val="58381A4A"/>
    <w:rsid w:val="584C3F6D"/>
    <w:rsid w:val="584F166F"/>
    <w:rsid w:val="5856487D"/>
    <w:rsid w:val="58782833"/>
    <w:rsid w:val="58B44A23"/>
    <w:rsid w:val="58F80945"/>
    <w:rsid w:val="59012648"/>
    <w:rsid w:val="59457E8E"/>
    <w:rsid w:val="59626468"/>
    <w:rsid w:val="596411B7"/>
    <w:rsid w:val="59747253"/>
    <w:rsid w:val="59E64D93"/>
    <w:rsid w:val="5A5816FF"/>
    <w:rsid w:val="5A735AF1"/>
    <w:rsid w:val="5A7B6781"/>
    <w:rsid w:val="5A822691"/>
    <w:rsid w:val="5BAC2376"/>
    <w:rsid w:val="5BD10250"/>
    <w:rsid w:val="5BD80C3B"/>
    <w:rsid w:val="5BD844BF"/>
    <w:rsid w:val="5BDA79C2"/>
    <w:rsid w:val="5C350FD5"/>
    <w:rsid w:val="5C38561E"/>
    <w:rsid w:val="5C3A545D"/>
    <w:rsid w:val="5C4C3C88"/>
    <w:rsid w:val="5CD913FD"/>
    <w:rsid w:val="5CDD26E7"/>
    <w:rsid w:val="5CE810B4"/>
    <w:rsid w:val="5CF1718A"/>
    <w:rsid w:val="5D0D3237"/>
    <w:rsid w:val="5D32124E"/>
    <w:rsid w:val="5DB31446"/>
    <w:rsid w:val="5E0B315A"/>
    <w:rsid w:val="5E0E085B"/>
    <w:rsid w:val="5E435CED"/>
    <w:rsid w:val="5E7732E3"/>
    <w:rsid w:val="5E812D98"/>
    <w:rsid w:val="5E9A58A9"/>
    <w:rsid w:val="5EB36DEA"/>
    <w:rsid w:val="5EE240B6"/>
    <w:rsid w:val="5F01496B"/>
    <w:rsid w:val="5F0842F6"/>
    <w:rsid w:val="5F0955FB"/>
    <w:rsid w:val="5FA91901"/>
    <w:rsid w:val="5FC16FA8"/>
    <w:rsid w:val="5FC40B23"/>
    <w:rsid w:val="60335FE2"/>
    <w:rsid w:val="603C46F3"/>
    <w:rsid w:val="60424801"/>
    <w:rsid w:val="60837066"/>
    <w:rsid w:val="60991209"/>
    <w:rsid w:val="609A2704"/>
    <w:rsid w:val="609D3493"/>
    <w:rsid w:val="610750C1"/>
    <w:rsid w:val="61123452"/>
    <w:rsid w:val="613D6494"/>
    <w:rsid w:val="616B1562"/>
    <w:rsid w:val="61751E71"/>
    <w:rsid w:val="617E2781"/>
    <w:rsid w:val="61B16453"/>
    <w:rsid w:val="61C6307B"/>
    <w:rsid w:val="61D64494"/>
    <w:rsid w:val="620A5BE8"/>
    <w:rsid w:val="621619FB"/>
    <w:rsid w:val="62197469"/>
    <w:rsid w:val="62286D69"/>
    <w:rsid w:val="62375F65"/>
    <w:rsid w:val="62525FDC"/>
    <w:rsid w:val="62751A14"/>
    <w:rsid w:val="628C09C1"/>
    <w:rsid w:val="62BE7E2E"/>
    <w:rsid w:val="62C21041"/>
    <w:rsid w:val="637606BD"/>
    <w:rsid w:val="63BC7DE8"/>
    <w:rsid w:val="63FC0596"/>
    <w:rsid w:val="643A5E7D"/>
    <w:rsid w:val="6444420E"/>
    <w:rsid w:val="64453C09"/>
    <w:rsid w:val="64654742"/>
    <w:rsid w:val="646621C4"/>
    <w:rsid w:val="646A0B05"/>
    <w:rsid w:val="64AB4761"/>
    <w:rsid w:val="64BD1975"/>
    <w:rsid w:val="64FA5A8F"/>
    <w:rsid w:val="652D1F8D"/>
    <w:rsid w:val="653F4BB7"/>
    <w:rsid w:val="656F0478"/>
    <w:rsid w:val="65755C04"/>
    <w:rsid w:val="65767E03"/>
    <w:rsid w:val="657C08E8"/>
    <w:rsid w:val="65BB2AF6"/>
    <w:rsid w:val="65CF1796"/>
    <w:rsid w:val="65D17C9D"/>
    <w:rsid w:val="66215D1D"/>
    <w:rsid w:val="666C4E98"/>
    <w:rsid w:val="667805BB"/>
    <w:rsid w:val="6703562F"/>
    <w:rsid w:val="672D4F56"/>
    <w:rsid w:val="673A0629"/>
    <w:rsid w:val="673F53D4"/>
    <w:rsid w:val="6749577F"/>
    <w:rsid w:val="675B47A0"/>
    <w:rsid w:val="67673E36"/>
    <w:rsid w:val="676911A7"/>
    <w:rsid w:val="6786531E"/>
    <w:rsid w:val="67992086"/>
    <w:rsid w:val="67DF4D79"/>
    <w:rsid w:val="67F56F1D"/>
    <w:rsid w:val="67FB68A8"/>
    <w:rsid w:val="67FE3FA9"/>
    <w:rsid w:val="680C0D40"/>
    <w:rsid w:val="68465A22"/>
    <w:rsid w:val="68476569"/>
    <w:rsid w:val="68CC58FB"/>
    <w:rsid w:val="68E61D28"/>
    <w:rsid w:val="69025DD5"/>
    <w:rsid w:val="696370F4"/>
    <w:rsid w:val="69732C11"/>
    <w:rsid w:val="69787099"/>
    <w:rsid w:val="69D855C2"/>
    <w:rsid w:val="69DC6DBD"/>
    <w:rsid w:val="69E01F40"/>
    <w:rsid w:val="6A0546FF"/>
    <w:rsid w:val="6A7E0B45"/>
    <w:rsid w:val="6AAB6191"/>
    <w:rsid w:val="6ADA0E22"/>
    <w:rsid w:val="6AFA5F10"/>
    <w:rsid w:val="6B730158"/>
    <w:rsid w:val="6B747DD8"/>
    <w:rsid w:val="6BEC3AE0"/>
    <w:rsid w:val="6C022EBF"/>
    <w:rsid w:val="6C217983"/>
    <w:rsid w:val="6C951535"/>
    <w:rsid w:val="6C9A59BC"/>
    <w:rsid w:val="6CB06FA5"/>
    <w:rsid w:val="6CE87315"/>
    <w:rsid w:val="6CFD7C5F"/>
    <w:rsid w:val="6D0F33FD"/>
    <w:rsid w:val="6D1E0194"/>
    <w:rsid w:val="6D8D3CCB"/>
    <w:rsid w:val="6D9510D7"/>
    <w:rsid w:val="6DD72E46"/>
    <w:rsid w:val="6DD92AC5"/>
    <w:rsid w:val="6DEB4065"/>
    <w:rsid w:val="6E087D91"/>
    <w:rsid w:val="6E2860C8"/>
    <w:rsid w:val="6E2A6047"/>
    <w:rsid w:val="6E2F12D6"/>
    <w:rsid w:val="6E7B00D0"/>
    <w:rsid w:val="6E9F0B1C"/>
    <w:rsid w:val="6F01162E"/>
    <w:rsid w:val="6F0E2EC2"/>
    <w:rsid w:val="6F5F3BC6"/>
    <w:rsid w:val="6FA625AD"/>
    <w:rsid w:val="6FBB0A5D"/>
    <w:rsid w:val="6FC957F4"/>
    <w:rsid w:val="6FCC1FFC"/>
    <w:rsid w:val="6FD47408"/>
    <w:rsid w:val="70670B75"/>
    <w:rsid w:val="707172CC"/>
    <w:rsid w:val="70A132D9"/>
    <w:rsid w:val="70C4348D"/>
    <w:rsid w:val="70DE4037"/>
    <w:rsid w:val="70FE7DEF"/>
    <w:rsid w:val="7150579F"/>
    <w:rsid w:val="718B3666"/>
    <w:rsid w:val="71D53E89"/>
    <w:rsid w:val="71F37403"/>
    <w:rsid w:val="71F41601"/>
    <w:rsid w:val="71FA350A"/>
    <w:rsid w:val="720F7C2C"/>
    <w:rsid w:val="72F6301A"/>
    <w:rsid w:val="732D2602"/>
    <w:rsid w:val="73365490"/>
    <w:rsid w:val="734325A8"/>
    <w:rsid w:val="73607959"/>
    <w:rsid w:val="73C07441"/>
    <w:rsid w:val="73E64123"/>
    <w:rsid w:val="73FF295B"/>
    <w:rsid w:val="74015E5E"/>
    <w:rsid w:val="743047AF"/>
    <w:rsid w:val="7431442E"/>
    <w:rsid w:val="7461717C"/>
    <w:rsid w:val="74FA3E77"/>
    <w:rsid w:val="74FF208D"/>
    <w:rsid w:val="75055A8C"/>
    <w:rsid w:val="751E0C24"/>
    <w:rsid w:val="75203B62"/>
    <w:rsid w:val="756722AD"/>
    <w:rsid w:val="75C27143"/>
    <w:rsid w:val="75E83B00"/>
    <w:rsid w:val="75F31B1A"/>
    <w:rsid w:val="75FC6F1D"/>
    <w:rsid w:val="765E373E"/>
    <w:rsid w:val="767C6572"/>
    <w:rsid w:val="767D3FF3"/>
    <w:rsid w:val="768C680C"/>
    <w:rsid w:val="76A1357A"/>
    <w:rsid w:val="76A83383"/>
    <w:rsid w:val="76D85607"/>
    <w:rsid w:val="771B2BF8"/>
    <w:rsid w:val="772D6395"/>
    <w:rsid w:val="77311518"/>
    <w:rsid w:val="774A7EC4"/>
    <w:rsid w:val="775F23E8"/>
    <w:rsid w:val="7764686F"/>
    <w:rsid w:val="778774CE"/>
    <w:rsid w:val="77990A3B"/>
    <w:rsid w:val="77F47058"/>
    <w:rsid w:val="78206C22"/>
    <w:rsid w:val="7825692D"/>
    <w:rsid w:val="789D1A6F"/>
    <w:rsid w:val="78A13CF9"/>
    <w:rsid w:val="78BA0F68"/>
    <w:rsid w:val="78C43EAD"/>
    <w:rsid w:val="78C673B0"/>
    <w:rsid w:val="78D93AF1"/>
    <w:rsid w:val="78E91B58"/>
    <w:rsid w:val="79163CB7"/>
    <w:rsid w:val="794A540B"/>
    <w:rsid w:val="79697EBE"/>
    <w:rsid w:val="79D939F5"/>
    <w:rsid w:val="79E84010"/>
    <w:rsid w:val="7A0E644E"/>
    <w:rsid w:val="7A1947DF"/>
    <w:rsid w:val="7A2405F1"/>
    <w:rsid w:val="7A2F6982"/>
    <w:rsid w:val="7A385094"/>
    <w:rsid w:val="7A890316"/>
    <w:rsid w:val="7A893B99"/>
    <w:rsid w:val="7A8F7CA1"/>
    <w:rsid w:val="7A9863B2"/>
    <w:rsid w:val="7AB65962"/>
    <w:rsid w:val="7ABB6566"/>
    <w:rsid w:val="7AD75E97"/>
    <w:rsid w:val="7B28499C"/>
    <w:rsid w:val="7B8F7843"/>
    <w:rsid w:val="7BAB16F2"/>
    <w:rsid w:val="7C086208"/>
    <w:rsid w:val="7C0D1623"/>
    <w:rsid w:val="7C2E1CCB"/>
    <w:rsid w:val="7C2F401D"/>
    <w:rsid w:val="7C5A6013"/>
    <w:rsid w:val="7C5D3714"/>
    <w:rsid w:val="7C8A0D60"/>
    <w:rsid w:val="7C9838F9"/>
    <w:rsid w:val="7CA5738C"/>
    <w:rsid w:val="7CC70BC5"/>
    <w:rsid w:val="7D6549FB"/>
    <w:rsid w:val="7DF228B1"/>
    <w:rsid w:val="7E0427CB"/>
    <w:rsid w:val="7E33111C"/>
    <w:rsid w:val="7E4C4244"/>
    <w:rsid w:val="7E5725D5"/>
    <w:rsid w:val="7E7661B0"/>
    <w:rsid w:val="7E8827DB"/>
    <w:rsid w:val="7EED3DCE"/>
    <w:rsid w:val="7EFD07E5"/>
    <w:rsid w:val="7F0F1603"/>
    <w:rsid w:val="7F17138E"/>
    <w:rsid w:val="7F466420"/>
    <w:rsid w:val="7F5F2E08"/>
    <w:rsid w:val="7F9E4AEB"/>
    <w:rsid w:val="7FB03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rFonts w:ascii="Times New Roman" w:hAnsi="Times New Roman"/>
      <w:b/>
      <w:sz w:val="32"/>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rPr>
      <w:kern w:val="0"/>
      <w:sz w:val="20"/>
    </w:rPr>
  </w:style>
  <w:style w:type="paragraph" w:styleId="4">
    <w:name w:val="Body Text"/>
    <w:basedOn w:val="1"/>
    <w:qFormat/>
    <w:uiPriority w:val="0"/>
    <w:pPr>
      <w:ind w:left="102"/>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Body Text Indent 3"/>
    <w:basedOn w:val="1"/>
    <w:qFormat/>
    <w:uiPriority w:val="0"/>
    <w:pPr>
      <w:spacing w:after="120"/>
      <w:ind w:left="420" w:leftChars="200"/>
    </w:pPr>
    <w:rPr>
      <w:sz w:val="16"/>
    </w:rPr>
  </w:style>
  <w:style w:type="paragraph" w:styleId="8">
    <w:name w:val="Normal (Web)"/>
    <w:basedOn w:val="1"/>
    <w:qFormat/>
    <w:uiPriority w:val="0"/>
    <w:pPr>
      <w:spacing w:before="100" w:beforeAutospacing="1" w:after="100" w:afterAutospacing="1" w:line="360" w:lineRule="auto"/>
      <w:ind w:firstLine="420"/>
      <w:jc w:val="left"/>
    </w:pPr>
    <w:rPr>
      <w:kern w:val="0"/>
      <w:sz w:val="24"/>
    </w:rPr>
  </w:style>
  <w:style w:type="character" w:styleId="10">
    <w:name w:val="Hyperlink"/>
    <w:qFormat/>
    <w:uiPriority w:val="0"/>
    <w:rPr>
      <w:color w:val="0000FF"/>
      <w:u w:val="single"/>
    </w:rPr>
  </w:style>
  <w:style w:type="character" w:styleId="11">
    <w:name w:val="annotation reference"/>
    <w:basedOn w:val="9"/>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unhideWhenUsed/>
    <w:qFormat/>
    <w:uiPriority w:val="0"/>
    <w:pPr>
      <w:widowControl w:val="0"/>
      <w:autoSpaceDE w:val="0"/>
      <w:autoSpaceDN w:val="0"/>
      <w:adjustRightInd w:val="0"/>
    </w:pPr>
    <w:rPr>
      <w:rFonts w:hint="eastAsia" w:ascii="...." w:hAnsi="Times New Roman" w:eastAsia="...." w:cs="黑体"/>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2331</Words>
  <Characters>13293</Characters>
  <Lines>110</Lines>
  <Paragraphs>31</Paragraphs>
  <TotalTime>4</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2018-06-27T01:20:00Z</dcterms:created>
  <dc:creator>crcb</dc:creator>
  <cp:lastModifiedBy>crcb</cp:lastModifiedBy>
  <dcterms:modified xsi:type="dcterms:W3CDTF">2025-09-11T06:13:16Z</dcterms:modified>
  <dc:title>理财非存款、产品有风险、投资须谨慎！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75BEDEB100CB4538BD168C4978F540FE</vt:lpwstr>
  </property>
</Properties>
</file>