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1501" w:type="dxa"/>
        <w:tblInd w:w="0" w:type="dxa"/>
        <w:tblLayout w:type="fixed"/>
        <w:tblCellMar>
          <w:top w:w="0" w:type="dxa"/>
          <w:left w:w="10" w:type="dxa"/>
          <w:bottom w:w="0" w:type="dxa"/>
          <w:right w:w="10" w:type="dxa"/>
        </w:tblCellMar>
      </w:tblPr>
      <w:tblGrid>
        <w:gridCol w:w="1"/>
        <w:gridCol w:w="800"/>
        <w:gridCol w:w="1257"/>
        <w:gridCol w:w="743"/>
        <w:gridCol w:w="600"/>
        <w:gridCol w:w="200"/>
        <w:gridCol w:w="400"/>
        <w:gridCol w:w="20"/>
        <w:gridCol w:w="980"/>
        <w:gridCol w:w="2000"/>
        <w:gridCol w:w="400"/>
        <w:gridCol w:w="220"/>
        <w:gridCol w:w="1380"/>
        <w:gridCol w:w="1700"/>
        <w:gridCol w:w="800"/>
      </w:tblGrid>
      <w:tr>
        <w:tblPrEx>
          <w:tblLayout w:type="fixed"/>
          <w:tblCellMar>
            <w:top w:w="0" w:type="dxa"/>
            <w:left w:w="10" w:type="dxa"/>
            <w:bottom w:w="0" w:type="dxa"/>
            <w:right w:w="10" w:type="dxa"/>
          </w:tblCellMar>
        </w:tblPrEx>
        <w:trPr>
          <w:trHeight w:val="0" w:hRule="atLeast"/>
        </w:trPr>
        <w:tc>
          <w:tcPr>
            <w:tcW w:w="1" w:type="dxa"/>
          </w:tcPr>
          <w:p>
            <w:pPr>
              <w:pStyle w:val="4"/>
            </w:pPr>
            <w:bookmarkStart w:id="0" w:name="JR_PAGE_ANCHOR_0_1"/>
            <w:bookmarkEnd w:id="0"/>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18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240" w:lineRule="auto"/>
              <w:jc w:val="center"/>
            </w:pPr>
            <w:r>
              <w:rPr>
                <w:rFonts w:ascii="原版宋体" w:hAnsi="原版宋体" w:eastAsia="原版宋体" w:cs="原版宋体"/>
                <w:b/>
                <w:color w:val="000000"/>
                <w:sz w:val="40"/>
              </w:rPr>
              <w:t>“常乐智享一年期A款净值型理财产品”定期报告</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产品管理人：常熟农商银行</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产品托管人：招商银行苏州分行营业部</w:t>
            </w:r>
          </w:p>
        </w:tc>
        <w:tc>
          <w:tcPr>
            <w:tcW w:w="800" w:type="dxa"/>
          </w:tcPr>
          <w:p>
            <w:pPr>
              <w:pStyle w:val="4"/>
            </w:pPr>
          </w:p>
        </w:tc>
      </w:tr>
      <w:tr>
        <w:tblPrEx>
          <w:tblLayout w:type="fixed"/>
          <w:tblCellMar>
            <w:top w:w="0" w:type="dxa"/>
            <w:left w:w="10" w:type="dxa"/>
            <w:bottom w:w="0" w:type="dxa"/>
            <w:right w:w="10" w:type="dxa"/>
          </w:tblCellMar>
        </w:tblPrEx>
        <w:trPr>
          <w:trHeight w:val="11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b/>
                <w:color w:val="000000"/>
                <w:sz w:val="20"/>
              </w:rPr>
              <w:t>1  重要提示</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产品的过往业绩并不代表其未来表现。投资有风险，投资者在作出投资决策前应仔细阅读本产品说明书。</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本报告中财务资料未经审计。</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本报告期自2025年01月01日起至06月30日止。</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2  产品概况</w:t>
            </w:r>
          </w:p>
        </w:tc>
        <w:tc>
          <w:tcPr>
            <w:tcW w:w="800" w:type="dxa"/>
          </w:tcPr>
          <w:p>
            <w:pPr>
              <w:pStyle w:val="4"/>
            </w:pPr>
          </w:p>
        </w:tc>
      </w:tr>
      <w:tr>
        <w:tblPrEx>
          <w:tblLayout w:type="fixed"/>
          <w:tblCellMar>
            <w:top w:w="0" w:type="dxa"/>
            <w:left w:w="10" w:type="dxa"/>
            <w:bottom w:w="0" w:type="dxa"/>
            <w:right w:w="10" w:type="dxa"/>
          </w:tblCellMar>
        </w:tblPrEx>
        <w:trPr>
          <w:trHeight w:val="8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产品名称</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常乐智享一年期A款净值型理财产品</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CLZX12MA</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全国银行业理财信息登记系统编码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C1115421000003</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产品运作方式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开放式净值型</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产品类型</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固定收益类</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募集方式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公募</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报告期末产品份额总额（万份）</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399170</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产品管理人</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常熟农商银行</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3  产品净值表现</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Pr>
          <w:p>
            <w:pPr>
              <w:pStyle w:val="4"/>
            </w:pPr>
          </w:p>
        </w:tc>
        <w:tc>
          <w:tcPr>
            <w:tcW w:w="7300" w:type="dxa"/>
            <w:gridSpan w:val="9"/>
            <w:tcMar>
              <w:top w:w="0" w:type="dxa"/>
              <w:left w:w="0" w:type="dxa"/>
              <w:bottom w:w="0" w:type="dxa"/>
              <w:right w:w="0" w:type="dxa"/>
            </w:tcMar>
            <w:vAlign w:val="center"/>
          </w:tcPr>
          <w:p>
            <w:pPr>
              <w:spacing w:before="0" w:after="0" w:line="360" w:lineRule="auto"/>
              <w:jc w:val="right"/>
            </w:pPr>
            <w:r>
              <w:rPr>
                <w:rFonts w:ascii="原版宋体" w:hAnsi="原版宋体" w:eastAsia="原版宋体" w:cs="原版宋体"/>
                <w:color w:val="000000"/>
                <w:sz w:val="20"/>
              </w:rPr>
              <w:t>（单位：元）</w:t>
            </w:r>
          </w:p>
        </w:tc>
        <w:tc>
          <w:tcPr>
            <w:tcW w:w="800" w:type="dxa"/>
          </w:tcPr>
          <w:p>
            <w:pPr>
              <w:pStyle w:val="4"/>
            </w:pPr>
          </w:p>
        </w:tc>
      </w:tr>
      <w:tr>
        <w:tblPrEx>
          <w:tblLayout w:type="fixed"/>
          <w:tblCellMar>
            <w:top w:w="0" w:type="dxa"/>
            <w:left w:w="10" w:type="dxa"/>
            <w:bottom w:w="0" w:type="dxa"/>
            <w:right w:w="10" w:type="dxa"/>
          </w:tblCellMar>
        </w:tblPrEx>
        <w:trPr>
          <w:trHeight w:val="2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报告期（2025年01月01日-2025年06月30日）</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1.期末产品资产净值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4,709,695,682.08</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2.期末产品份额净值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1.179870</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3.期末产品份额累计净值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1.179870</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1" w:name="JR_PAGE_ANCHOR_0_2"/>
            <w:bookmarkEnd w:id="1"/>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4  投资组合报告</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4.1 报告期末产品资产组合情况</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项目</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占产品总资产的比例（%）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5,619,157,018.59</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98.85%</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其中：债券</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5,569,160,390.57</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97.97%</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非标资产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权益投资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58,308,400.41</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1.03%</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其中：基金</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58,308,400.41</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1.03%</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金融衍生品投资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买入返售金融资产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其中：买断式回购</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银行存款合计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7,223,730.67</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0.12%</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5,684,689,149.67</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100.00%</w:t>
            </w:r>
          </w:p>
        </w:tc>
        <w:tc>
          <w:tcPr>
            <w:tcW w:w="800" w:type="dxa"/>
          </w:tcPr>
          <w:p>
            <w:pPr>
              <w:pStyle w:val="4"/>
            </w:pPr>
          </w:p>
        </w:tc>
      </w:tr>
      <w:tr>
        <w:tblPrEx>
          <w:tblLayout w:type="fixed"/>
          <w:tblCellMar>
            <w:top w:w="0" w:type="dxa"/>
            <w:left w:w="10" w:type="dxa"/>
            <w:bottom w:w="0" w:type="dxa"/>
            <w:right w:w="10" w:type="dxa"/>
          </w:tblCellMar>
        </w:tblPrEx>
        <w:trPr>
          <w:trHeight w:val="2000" w:hRule="exact"/>
        </w:trPr>
        <w:tc>
          <w:tcPr>
            <w:tcW w:w="1" w:type="dxa"/>
          </w:tcPr>
          <w:p>
            <w:pPr>
              <w:pStyle w:val="4"/>
            </w:pPr>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4.2 报告期末按债券品种分类的债券投资组合</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债券品种</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国家债券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央行票据</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2,070,699,154.00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43.97%</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其中：政策性金融债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795,124,472.06</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16.88%</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3,435,946,857.38</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72.95%</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企业短期融资券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可转债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62,514,379.19</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1.33%</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8</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5,569,160,390.57</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118.25%</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2" w:name="JR_PAGE_ANCHOR_0_3"/>
            <w:bookmarkEnd w:id="2"/>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4.3 报告期末按市值占产品资产净值比例大小排名的前十名资产投资明细</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资产代码</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资产名称</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数量</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市值(元)</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240215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24国开15</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420,000,000.00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446,183,421.37</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9.47%</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2</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250201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25国开01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247,000,000.00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247,840,815.07</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5.26%</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3</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SS255462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24椒发03</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180,000,000.00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184,024,873.98</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3.91%</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4</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102580026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25晋陵投资MTN001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140,000,000.00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140,823,871.23</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2.99%</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5</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SS175263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20中金12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130,000,000.00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133,176,106.57</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2.83%</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6</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SS241190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24招证G3</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120,000,000.00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121,718,280.00</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2.58%</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7</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SS197597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21富交02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113,000,000.00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116,571,872.22</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2.48%</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8</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032280822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22宁海城投PPN002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110,000,000.00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112,174,292.21</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2.38%</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9</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102580166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25嘉兴科技MTN001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101,542,098.63</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2.16%</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10</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250210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25国开10</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101,100,235.62</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2.15%</w:t>
            </w:r>
          </w:p>
        </w:tc>
        <w:tc>
          <w:tcPr>
            <w:tcW w:w="800" w:type="dxa"/>
          </w:tcPr>
          <w:p>
            <w:pPr>
              <w:pStyle w:val="4"/>
            </w:pPr>
          </w:p>
        </w:tc>
      </w:tr>
      <w:tr>
        <w:tblPrEx>
          <w:tblLayout w:type="fixed"/>
          <w:tblCellMar>
            <w:top w:w="0" w:type="dxa"/>
            <w:left w:w="10" w:type="dxa"/>
            <w:bottom w:w="0" w:type="dxa"/>
            <w:right w:w="10" w:type="dxa"/>
          </w:tblCellMar>
        </w:tblPrEx>
        <w:trPr>
          <w:trHeight w:val="58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4.4 报告期末投资组合流动性风险分析</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 xml:space="preserve">    报告期内，产品管理人通过合理安排资产配置结构，保持一定比例的高流动性资产，控制资产久期、杠杆融资比例，管控产品流动性风险。持仓中利率债、同业存单及高等级信用债占比较高，对于关键时点的规模变动和资金面波动都有充足的准备，且融资渠道畅通多元，风险总体可控。</w:t>
            </w:r>
          </w:p>
        </w:tc>
        <w:tc>
          <w:tcPr>
            <w:tcW w:w="800" w:type="dxa"/>
          </w:tcPr>
          <w:p>
            <w:pPr>
              <w:pStyle w:val="4"/>
            </w:pPr>
          </w:p>
        </w:tc>
      </w:tr>
      <w:tr>
        <w:tblPrEx>
          <w:tblLayout w:type="fixed"/>
          <w:tblCellMar>
            <w:top w:w="0" w:type="dxa"/>
            <w:left w:w="10" w:type="dxa"/>
            <w:bottom w:w="0" w:type="dxa"/>
            <w:right w:w="10" w:type="dxa"/>
          </w:tblCellMar>
        </w:tblPrEx>
        <w:trPr>
          <w:trHeight w:val="102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bookmarkStart w:id="3" w:name="_GoBack"/>
            <w:bookmarkEnd w:id="3"/>
          </w:p>
        </w:tc>
        <w:tc>
          <w:tcPr>
            <w:tcW w:w="10700" w:type="dxa"/>
            <w:gridSpan w:val="13"/>
            <w:tcMar>
              <w:top w:w="0" w:type="dxa"/>
              <w:left w:w="0" w:type="dxa"/>
              <w:bottom w:w="0" w:type="dxa"/>
              <w:right w:w="0" w:type="dxa"/>
            </w:tcMar>
            <w:vAlign w:val="center"/>
          </w:tcPr>
          <w:p>
            <w:pPr>
              <w:spacing w:before="0" w:after="0" w:line="360" w:lineRule="auto"/>
              <w:rPr>
                <w:rFonts w:ascii="原版宋体" w:hAnsi="原版宋体" w:eastAsia="原版宋体" w:cs="原版宋体"/>
                <w:color w:val="000000"/>
                <w:sz w:val="20"/>
              </w:rPr>
            </w:pPr>
            <w:r>
              <w:rPr>
                <w:rFonts w:hint="eastAsia" w:ascii="原版宋体" w:hAnsi="原版宋体" w:eastAsia="原版宋体" w:cs="原版宋体"/>
                <w:b/>
                <w:color w:val="000000"/>
                <w:sz w:val="20"/>
                <w:lang w:val="en-US" w:eastAsia="zh-CN"/>
              </w:rPr>
              <w:t>5</w:t>
            </w:r>
            <w:r>
              <w:rPr>
                <w:rFonts w:ascii="原版宋体" w:hAnsi="原版宋体" w:eastAsia="原版宋体" w:cs="原版宋体"/>
                <w:b/>
                <w:color w:val="000000"/>
                <w:sz w:val="20"/>
              </w:rPr>
              <w:t xml:space="preserve">  </w:t>
            </w:r>
            <w:r>
              <w:rPr>
                <w:rFonts w:hint="eastAsia" w:ascii="原版宋体" w:hAnsi="原版宋体" w:eastAsia="原版宋体" w:cs="原版宋体"/>
                <w:b/>
                <w:color w:val="000000"/>
                <w:sz w:val="20"/>
                <w:lang w:eastAsia="zh-CN"/>
              </w:rPr>
              <w:t>投资账户信息</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户名</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常熟农商银行-常乐智享一年期A款净值型理财产品</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账号</w:t>
            </w:r>
          </w:p>
        </w:tc>
        <w:tc>
          <w:tcPr>
            <w:tcW w:w="8643" w:type="dxa"/>
            <w:gridSpan w:val="11"/>
            <w:tcMar>
              <w:top w:w="0" w:type="dxa"/>
              <w:left w:w="0" w:type="dxa"/>
              <w:bottom w:w="0" w:type="dxa"/>
              <w:right w:w="0" w:type="dxa"/>
            </w:tcMar>
            <w:vAlign w:val="center"/>
          </w:tcPr>
          <w:p>
            <w:pPr>
              <w:ind w:left="0" w:leftChars="0"/>
              <w:jc w:val="center"/>
            </w:pPr>
            <w:r>
              <w:rPr>
                <w:rFonts w:hint="eastAsia" w:ascii="原版宋体" w:hAnsi="原版宋体" w:eastAsia="原版宋体" w:cs="原版宋体"/>
                <w:color w:val="000000"/>
                <w:sz w:val="20"/>
                <w:lang w:eastAsia="zh-CN"/>
              </w:rPr>
              <w:t>512902284610719</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开 户 行</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招商银行苏州分行营业部</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pPr>
            <w:r>
              <w:rPr>
                <w:rFonts w:ascii="原版宋体" w:hAnsi="原版宋体" w:eastAsia="原版宋体" w:cs="原版宋体"/>
                <w:color w:val="000000"/>
                <w:sz w:val="20"/>
              </w:rPr>
              <w:t xml:space="preserve">    特此公告。</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江苏常熟农村商业银行股份有限公司</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2025年07月07日</w:t>
            </w:r>
          </w:p>
        </w:tc>
        <w:tc>
          <w:tcPr>
            <w:tcW w:w="800" w:type="dxa"/>
          </w:tcPr>
          <w:p>
            <w:pPr>
              <w:pStyle w:val="4"/>
            </w:pPr>
          </w:p>
        </w:tc>
      </w:tr>
    </w:tbl>
    <w:p/>
    <w:sectPr>
      <w:pgSz w:w="13900" w:h="16860"/>
      <w:pgMar w:top="800" w:right="1200" w:bottom="440" w:left="1200" w:header="0" w:footer="0" w:gutter="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原版宋体">
    <w:altName w:val="宋体"/>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800"/>
  <w:compat>
    <w:useFELayout/>
    <w:splitPgBreakAndParaMark/>
    <w:compatSetting w:name="compatibilityMode" w:uri="http://schemas.microsoft.com/office/word" w:val="12"/>
  </w:compat>
  <w:rsids>
    <w:rsidRoot w:val="00000000"/>
    <w:rsid w:val="22CB60D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Office_11.8.2.8696_F1E327BC-269C-435d-A152-05C5408002CA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2025-07-09T02:54:48Z</dcterms:created>
  <dc:creator>user</dc:creator>
  <cp:lastModifiedBy>user</cp:lastModifiedBy>
  <dcterms:modified xsi:type="dcterms:W3CDTF">2025-07-09T02:55:03Z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