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“常乐睿享价值精选1号净值型人民币理财产品”定期报告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产品托管人：上海银行常熟支行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常乐睿享价值精选1号净值型人民币理财产品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CLRXJZ001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C1115421000020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1376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11,219,520.03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0.815229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0.815229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10,401,097.29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88.15%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10,401,097.29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88.15%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1,398,863.53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11,799,960.82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166005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中欧价值发现混合A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394,597.46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904,496.30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002450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平安睿享文娱混合A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476,232.52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779,116.40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450004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国富深化价值混合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447,562.84</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746,221.52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001186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富国文体健康股票A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289,157.72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745,448.60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003293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易方达科瑞混合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423,706.38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738,901.56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013403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华夏恒生科技ETF发起式联接(QDII)C</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793,547.15</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732,047.25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004423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华商研究精选灵活配置A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247,436.57</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667,336.43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011613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华夏上证科创板50成份ETF联接C</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782,849.57</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618,686.02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004744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易方达创业板ETF联接C</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266,766.26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575,788.30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310358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申万菱信新经济混合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645,086.82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569,095.59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keepNext w:val="0"/>
              <w:keepLines w:val="0"/>
              <w:widowControl/>
              <w:suppressLineNumbers w:val="0"/>
              <w:jc w:val="left"/>
              <w:rPr>
                <w:sz w:val="24"/>
                <w:szCs w:val="24"/>
              </w:rPr>
            </w:pPr>
            <w:r>
              <w:rPr>
                <w:rFonts w:ascii="原版宋体" w:hAnsi="原版宋体" w:eastAsia="原版宋体" w:cs="原版宋体"/>
                <w:color w:val="000000"/>
                <w:sz w:val="20"/>
              </w:rPr>
              <w:t>4.4 报告</w:t>
            </w:r>
            <w:r>
              <w:rPr>
                <w:rFonts w:hint="default" w:ascii="原版宋体" w:hAnsi="原版宋体" w:eastAsia="原版宋体" w:cs="原版宋体"/>
                <w:color w:val="000000"/>
                <w:sz w:val="20"/>
                <w:lang w:val="en-US" w:eastAsia="zh-CN"/>
              </w:rPr>
              <w:t>期内理财产品投资策略和运作分析</w:t>
            </w:r>
          </w:p>
          <w:p>
            <w:pPr>
              <w:spacing w:before="0" w:after="0" w:line="360" w:lineRule="auto"/>
            </w:pPr>
          </w:p>
        </w:tc>
        <w:tc>
          <w:tcPr>
            <w:tcW w:w="800" w:type="dxa"/>
          </w:tcPr>
          <w:p>
            <w:pPr>
              <w:pStyle w:val="4"/>
            </w:pPr>
          </w:p>
        </w:tc>
      </w:tr>
      <w:tr>
        <w:tblPrEx>
          <w:tblLayout w:type="fixed"/>
          <w:tblCellMar>
            <w:top w:w="0" w:type="dxa"/>
            <w:left w:w="10" w:type="dxa"/>
            <w:bottom w:w="0" w:type="dxa"/>
            <w:right w:w="10" w:type="dxa"/>
          </w:tblCellMar>
        </w:tblPrEx>
        <w:trPr>
          <w:trHeight w:val="2025"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auto"/>
                <w:sz w:val="20"/>
              </w:rPr>
              <w:t>二季度，全球股市在遭遇关税冲击后快速修复。在政策的有效呵护下，A股一路上行创出年内新高。短期的上涨或令人感到兴奋，但更令人欣慰的是一些长期慢变量的改善，比如我们可喜地看到过去两年A股“分红+回购”总额已经超过了融资总额，在经济尚未全面复苏的背景下股市冲高离不开生态机制的全面优化，这足以给投资者带来坚定的长期信心。报告期内，本产品保持90%以上的高仓位运行，享受到了市场上涨红利，未来本产品将继续严格</w:t>
            </w:r>
            <w:bookmarkStart w:id="3" w:name="_GoBack"/>
            <w:bookmarkEnd w:id="3"/>
            <w:r>
              <w:rPr>
                <w:rFonts w:hint="eastAsia" w:ascii="原版宋体" w:hAnsi="原版宋体" w:eastAsia="原版宋体" w:cs="原版宋体"/>
                <w:color w:val="auto"/>
                <w:sz w:val="20"/>
              </w:rPr>
              <w:t>坚守“权益型理财产品”的定位，与持有人共同见证中国股市慢牛之路。</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常熟农商银行常乐睿享价值精选1号净值型人民币理财产品 </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03004741257</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vAlign w:val="center"/>
          </w:tcPr>
          <w:p>
            <w:pPr>
              <w:jc w:val="center"/>
            </w:pPr>
            <w:r>
              <w:rPr>
                <w:rFonts w:hint="eastAsia" w:ascii="原版宋体" w:hAnsi="原版宋体" w:eastAsia="原版宋体" w:cs="原版宋体"/>
                <w:color w:val="000000"/>
                <w:sz w:val="20"/>
                <w:lang w:eastAsia="zh-CN"/>
              </w:rPr>
              <w:t>开 户 行</w:t>
            </w:r>
          </w:p>
        </w:tc>
        <w:tc>
          <w:tcPr>
            <w:tcW w:w="8643" w:type="dxa"/>
            <w:gridSpan w:val="11"/>
            <w:vAlign w:val="center"/>
          </w:tcPr>
          <w:p>
            <w:pPr>
              <w:jc w:val="center"/>
            </w:pPr>
            <w:r>
              <w:rPr>
                <w:rFonts w:hint="eastAsia" w:ascii="原版宋体" w:hAnsi="原版宋体" w:eastAsia="原版宋体" w:cs="原版宋体"/>
                <w:color w:val="000000"/>
                <w:sz w:val="20"/>
                <w:lang w:eastAsia="zh-CN"/>
              </w:rPr>
              <w:t>上海银行股份有限公司常熟支行</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800"/>
  <w:displayHorizontalDrawingGridEvery w:val="1"/>
  <w:displayVerticalDrawingGridEvery w:val="1"/>
  <w:noPunctuationKerning w:val="1"/>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287E4FE1"/>
    <w:rsid w:val="477122D8"/>
    <w:rsid w:val="71BB50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2025-07-09T02:31:00Z</dcterms:created>
  <dc:creator>user</dc:creator>
  <cp:lastModifiedBy>user</cp:lastModifiedBy>
  <dcterms:modified xsi:type="dcterms:W3CDTF">2025-07-11T07:43:23Z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