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“常乐瑞盈1号净值型理财产品”定期报告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产品托管人：宁波银行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本报告期自2025年01月01日起至06月30日止。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常乐瑞盈1号净值型理财产品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RY001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C1115420000002</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12220</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报告期（2025年01月01日-2025年06月30日）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145,884,336.42</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1.193795</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1.193795</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137,124,244.64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92.10%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137,124,244.64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92.10%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7,990,781.04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5.37%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7,990,781.04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5.37%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3,776,762.92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2.53%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148,891,788.60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7,005,313.77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7,005,313.77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119,999,829.50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82.26%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10,119,101.37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6.94%</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137,124,244.64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94.00%</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032381046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23泰州海陵PPN001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10,422,667.44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7.14%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032480003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24盐城东方PPN001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10,358,807.59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7.10%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032280737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22株洲城建PPN002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10,307,167.86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7.07%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032481143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24淮安国联PPN004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10,198,049.32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6.99%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SS256363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24淮建02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10,169,956.16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6.97%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032481574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24滨江投资PPN007</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10,119,101.37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6.94%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032400717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24盐城国投PPN003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10,054,065.75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6.89%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SS254510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24海晟02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10,053,726.03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6.89%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032580134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25丽水经开PPN001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10,026,811.45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6.87%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032400793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24华靖资产PPN003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10,002,794.52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6.86%</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hint="default" w:ascii="原版宋体" w:hAnsi="原版宋体" w:eastAsia="原版宋体" w:cs="原版宋体"/>
                <w:color w:val="000000"/>
                <w:sz w:val="20"/>
                <w:lang w:val="en-US" w:eastAsia="zh-CN"/>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常乐瑞盈1号净值型理财产品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jc w:val="center"/>
            </w:pPr>
            <w:r>
              <w:rPr>
                <w:rFonts w:hint="eastAsia" w:asciiTheme="minorEastAsia" w:hAnsiTheme="minorEastAsia" w:eastAsiaTheme="minorEastAsia" w:cstheme="minorEastAsia"/>
                <w:sz w:val="20"/>
                <w:szCs w:val="21"/>
              </w:rPr>
              <w:t>70970122000112108001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宁波银行股份有限公司上海分行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2025年07月07日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800"/>
  <w:compat>
    <w:useFELayout/>
    <w:splitPgBreakAndParaMark/>
    <w:compatSetting w:name="compatibilityMode" w:uri="http://schemas.microsoft.com/office/word" w:val="12"/>
  </w:compat>
  <w:rsids>
    <w:rsidRoot w:val="00000000"/>
    <w:rsid w:val="43E0301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2025-07-09T02:30:31Z</dcterms:created>
  <dc:creator>user</dc:creator>
  <cp:lastModifiedBy>user</cp:lastModifiedBy>
  <dcterms:modified xsi:type="dcterms:W3CDTF">2025-07-09T02:30:56Z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