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苏银理财恒源日申季持1号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苏银理财恒源日申季持1号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2021年07月30日</w:t>
      </w:r>
      <w:r>
        <w:rPr>
          <w:rFonts w:hint="eastAsia" w:ascii="楷体" w:hAnsi="楷体" w:eastAsia="楷体" w:cs="楷体"/>
        </w:rPr>
        <w:t>成立，于</w:t>
      </w:r>
      <w:r>
        <w:rPr>
          <w:rFonts w:hint="eastAsia" w:ascii="楷体" w:hAnsi="楷体" w:eastAsia="楷体" w:cs="楷体"/>
          <w:spacing w:val="-7"/>
        </w:rPr>
        <w:t>2021年07月30日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苏银理财恒源日申季持1号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20,986,600,308.55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23,777,485,748.36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31000188000436462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24,088,682,837.32</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101.31%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苏银理财恒源日申季持1号Q滚续</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1.134451</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1.134451</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苏银理财恒源日申季持1号（北部湾银行专属）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1.132984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1.132984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苏银理财恒源日申季持1号Z滚续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1.134232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1.134232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苏银理财恒源日申季持1号（代发专享）滚续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1.133272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1.133272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苏银理财恒源日申季持1号（芙蓉锦程·优选）</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1.132769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1.132769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1.126369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1.126369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1.13105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1.13105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苏银理财恒源日申季持1号A滚续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1.128164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1.128164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苏银理财恒源日申季持1号B滚续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1.130361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1.130361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苏银理财恒源日申季持1号C滚续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1.133208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1.133208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苏银理财恒源日申季持1号D滚续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1.133988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1.133988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苏银理财恒源日申季持1号E滚续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1.152323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1.152323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1.127466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1.127466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1.129678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1.129678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1.132335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1.132335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1.133269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1.133269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苏银理财恒源日申季持1号E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1.151692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1.151692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2.35%-3.15%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61.21%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37.94%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0.85%</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62.06%</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37.94%</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2,382,378,494.65</w:t>
            </w:r>
          </w:p>
        </w:tc>
        <w:tc>
          <w:tcPr>
            <w:tcW w:w="1800" w:type="dxa"/>
          </w:tcPr>
          <w:p>
            <w:pPr>
              <w:jc w:val="center"/>
              <w:rPr>
                <w:rFonts w:hint="eastAsia" w:ascii="楷体" w:hAnsi="楷体" w:eastAsia="楷体" w:cs="楷体"/>
                <w:sz w:val="22"/>
              </w:rPr>
            </w:pPr>
            <w:r>
              <w:rPr>
                <w:rFonts w:hint="eastAsia" w:ascii="楷体" w:hAnsi="楷体" w:eastAsia="楷体" w:cs="楷体"/>
                <w:sz w:val="22"/>
              </w:rPr>
              <w:t>9.83%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24建设银行CD284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299,552,798.69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24徽商银行CD216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297,993,678.08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25南京银行CD103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295,639,041.37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工银泰享三年理财债券</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261,281,125.63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工商银行宜兴支行20（20230728）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255,876,556.82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工商银行海州支行20（20230728）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255,876,556.82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中国工商银行南京城南支行230308ZGCP181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221,986,145.09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中国工商银行杭州庆春支行230224ZGCP181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221,957,800.75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农业银行如皋市支行16（20230728）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204,464,583.19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0.84%</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499,477,047.53</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187,618,127.30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230,000,000.00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1,352,325.79</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苏银理财有限责任公司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145,061,542.61</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31,300,000.00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541,472,536.72</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东吴证券股份有限公司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95,500,000.00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5,361,267.46</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20,986,600,308.55</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24,877,333,400.58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二季度债市在超预期关税驱动下先是急涨，随后市场在关税进展、基本面和政策预期之间反复摇摆，进入震荡格局。5月一揽子货币政策落地，资金中枢整体下移带动信用债大幅走强，持续回升的理财规模助推利差快速压缩。6月以来资金宽松基调延续，信用债收益率跟随下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日申季持坚持稳健的投资策略，通过对国内外宏观经济态势、利率走势、收益率曲线变化趋势和信用风险变化等因素进行综合分析，坚持以票息策略打底，有较多静态收益较高、波动较低的资产，同时通过择时交易进行增厚，为客户提供长期稳健收益。</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b w:val="0"/>
          <w:bCs/>
          <w:kern w:val="0"/>
          <w:sz w:val="21"/>
          <w:szCs w:val="21"/>
          <w:lang w:val="en-US" w:eastAsia="zh-CN" w:bidi="ar-SA"/>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展望下一季度，在面临宏观环境不确定性增强的大环境下，货币政策将保持适度宽松，利率大幅上行的风险相对较低。因此，我们认为，在货币政策</w:t>
      </w:r>
      <w:bookmarkStart w:id="1" w:name="_GoBack"/>
      <w:bookmarkEnd w:id="1"/>
      <w:r>
        <w:rPr>
          <w:rFonts w:hint="eastAsia" w:ascii="楷体" w:hAnsi="楷体" w:eastAsia="楷体" w:cs="楷体"/>
          <w:b w:val="0"/>
          <w:bCs/>
          <w:kern w:val="0"/>
          <w:sz w:val="21"/>
          <w:szCs w:val="21"/>
          <w:lang w:val="en-US" w:eastAsia="zh-CN" w:bidi="ar-SA"/>
        </w:rPr>
        <w:t>可能进一步宽松的预期下，利率整体预计将保持下行态势。同时，也需要密切关注与跟踪海外的不确定性以及全球的地缘政治风险。</w:t>
      </w:r>
    </w:p>
    <w:p>
      <w:pPr>
        <w:pStyle w:val="4"/>
        <w:spacing w:before="0" w:line="240" w:lineRule="auto"/>
        <w:ind w:left="0" w:right="0" w:firstLine="0" w:firstLineChars="0"/>
        <w:jc w:val="both"/>
        <w:rPr>
          <w:rFonts w:hint="eastAsia" w:ascii="楷体" w:hAnsi="楷体" w:eastAsia="楷体" w:cs="楷体"/>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流动性风险方面，本产品持仓资产以标准化债权类资产为主，变现能力较强，同时注重调优持仓结构，确保流动性处于合理水平。</w:t>
      </w:r>
    </w:p>
    <w:p>
      <w:pPr>
        <w:pStyle w:val="4"/>
        <w:spacing w:before="0" w:line="240" w:lineRule="auto"/>
        <w:ind w:left="0" w:right="0" w:firstLine="0" w:firstLineChars="0"/>
        <w:rPr>
          <w:rFonts w:hint="eastAsia" w:ascii="楷体" w:hAnsi="楷体" w:eastAsia="楷体" w:cs="楷体"/>
          <w:sz w:val="21"/>
        </w:rPr>
      </w:pP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9A4FD1"/>
    <w:multiLevelType w:val="singleLevel"/>
    <w:tmpl w:val="329A4FD1"/>
    <w:lvl w:ilvl="0" w:tentative="0">
      <w:start w:val="3"/>
      <w:numFmt w:val="decimal"/>
      <w:suff w:val="nothing"/>
      <w:lvlText w:val="%1）"/>
      <w:lvlJc w:val="left"/>
    </w:lvl>
  </w:abstractNum>
  <w:abstractNum w:abstractNumId="1">
    <w:nsid w:val="63B12E74"/>
    <w:multiLevelType w:val="singleLevel"/>
    <w:tmpl w:val="63B12E74"/>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2A6739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d0fdb6-d951-4624-9dcf-d4fcf0baba14}">
  <ds:schemaRefs/>
</ds:datastoreItem>
</file>

<file path=customXml/itemProps3.xml><?xml version="1.0" encoding="utf-8"?>
<ds:datastoreItem xmlns:ds="http://schemas.openxmlformats.org/officeDocument/2006/customXml" ds:itemID="{addd6f93-b98b-4b17-9c85-7dcf4df42177}">
  <ds:schemaRefs/>
</ds:datastoreItem>
</file>

<file path=customXml/itemProps4.xml><?xml version="1.0" encoding="utf-8"?>
<ds:datastoreItem xmlns:ds="http://schemas.openxmlformats.org/officeDocument/2006/customXml" ds:itemID="{bfa936d4-1503-43e6-b030-90375a44a9b7}">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2025-07-15T11:49:05Z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DF82544F328A4C31AD297953033470F8</vt:lpwstr>
  </property>
</Properties>
</file>