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lang w:val="en-US" w:eastAsia="zh-CN"/>
        </w:rPr>
        <w:t>2020年个人大额存单自主定价第3期3年</w:t>
      </w:r>
      <w:r>
        <w:rPr>
          <w:rFonts w:hint="eastAsia" w:ascii="黑体" w:eastAsia="黑体"/>
          <w:sz w:val="32"/>
          <w:szCs w:val="21"/>
        </w:rPr>
        <w:t>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hint="eastAsia" w:ascii="仿宋_GB2312" w:eastAsia="仿宋_GB2312"/>
                <w:szCs w:val="21"/>
              </w:rPr>
            </w:pPr>
            <w:r>
              <w:rPr>
                <w:rFonts w:hint="eastAsia" w:ascii="仿宋_GB2312" w:eastAsia="仿宋_GB2312"/>
                <w:szCs w:val="21"/>
                <w:lang w:val="en-US" w:eastAsia="zh-CN"/>
              </w:rPr>
              <w:t>2020年个人大额存单自主定价第3期3年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CRCB2020020103100000510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10</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vAlign w:val="top"/>
          </w:tcPr>
          <w:p>
            <w:pPr>
              <w:spacing w:line="360" w:lineRule="exact"/>
              <w:rPr>
                <w:rFonts w:ascii="仿宋_GB2312" w:eastAsia="仿宋_GB2312"/>
                <w:szCs w:val="21"/>
              </w:rPr>
            </w:pPr>
            <w:r>
              <w:rPr>
                <w:rFonts w:hint="eastAsia" w:ascii="仿宋_GB2312" w:eastAsia="仿宋_GB2312"/>
                <w:szCs w:val="21"/>
              </w:rPr>
              <w:t>4.2625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起息日起满1年付息：存单本金*2.35%</w:t>
            </w:r>
          </w:p>
          <w:p>
            <w:pPr>
              <w:spacing w:line="360" w:lineRule="exact"/>
              <w:rPr>
                <w:rFonts w:ascii="仿宋_GB2312" w:eastAsia="仿宋_GB2312"/>
                <w:szCs w:val="21"/>
              </w:rPr>
            </w:pPr>
            <w:r>
              <w:rPr>
                <w:rFonts w:hint="eastAsia" w:ascii="仿宋_GB2312" w:eastAsia="仿宋_GB2312"/>
                <w:szCs w:val="21"/>
              </w:rPr>
              <w:t>起息日起满2年付息：存单本金*4.16%</w:t>
            </w:r>
          </w:p>
          <w:p>
            <w:pPr>
              <w:spacing w:line="360" w:lineRule="exact"/>
              <w:rPr>
                <w:rFonts w:ascii="仿宋_GB2312" w:eastAsia="仿宋_GB2312"/>
                <w:szCs w:val="21"/>
              </w:rPr>
            </w:pPr>
            <w:r>
              <w:rPr>
                <w:rFonts w:hint="eastAsia" w:ascii="仿宋_GB2312" w:eastAsia="仿宋_GB2312"/>
                <w:szCs w:val="21"/>
              </w:rPr>
              <w:t>起息日起满3年付息：存单本金*6.2775%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eastAsia="仿宋_GB2312"/>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1、提前支取日较起存日或上一付息日（以时间短的为准）不足整年的期间提前支取金额按活期计息，提前支取时已按年支付的利息不在本金中扣除。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D72"/>
    <w:rsid w:val="00ED2FD4"/>
    <w:rsid w:val="05CC5477"/>
    <w:rsid w:val="0C051C61"/>
    <w:rsid w:val="13561720"/>
    <w:rsid w:val="18000672"/>
    <w:rsid w:val="1A3D06C9"/>
    <w:rsid w:val="3118088C"/>
    <w:rsid w:val="399F09AA"/>
    <w:rsid w:val="41391130"/>
    <w:rsid w:val="46BC5F2C"/>
    <w:rsid w:val="537B056B"/>
    <w:rsid w:val="77E2309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alloon Text"/>
    <w:basedOn w:val="1"/>
    <w:link w:val="9"/>
    <w:qFormat/>
    <w:uiPriority w:val="0"/>
    <w:rPr>
      <w:rFonts w:ascii="Calibri" w:hAnsi="Calibri" w:cs="黑体"/>
      <w:kern w:val="2"/>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sz w:val="18"/>
      <w:szCs w:val="18"/>
    </w:rPr>
  </w:style>
  <w:style w:type="character" w:customStyle="1" w:styleId="8">
    <w:name w:val="页脚 Char"/>
    <w:link w:val="3"/>
    <w:qFormat/>
    <w:uiPriority w:val="0"/>
    <w:rPr>
      <w:sz w:val="18"/>
      <w:szCs w:val="18"/>
    </w:rPr>
  </w:style>
  <w:style w:type="character" w:customStyle="1" w:styleId="9">
    <w:name w:val="批注框文本 Char"/>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1158</Characters>
  <Lines>9</Lines>
  <Paragraphs>2</Paragraphs>
  <ScaleCrop>false</ScaleCrop>
  <LinksUpToDate>false</LinksUpToDate>
  <CharactersWithSpaces>1358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2019-03-29T08:29:00Z</dcterms:created>
  <dc:creator>王瑜</dc:creator>
  <cp:lastModifiedBy>crcb</cp:lastModifiedBy>
  <cp:lastPrinted>2019-03-29T09:17:00Z</cp:lastPrinted>
  <dcterms:modified xsi:type="dcterms:W3CDTF">2020-01-31T03:52:33Z</dcterms:modified>
  <dc:title>len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