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32"/>
          <w:szCs w:val="21"/>
        </w:rPr>
      </w:pPr>
      <w:r>
        <w:rPr>
          <w:rFonts w:hint="eastAsia" w:ascii="黑体" w:eastAsia="黑体"/>
          <w:sz w:val="32"/>
          <w:szCs w:val="21"/>
        </w:rPr>
        <w:t>江苏常熟农村商业银行股份有限公司</w:t>
      </w:r>
    </w:p>
    <w:p>
      <w:pPr>
        <w:jc w:val="center"/>
        <w:rPr>
          <w:rFonts w:ascii="黑体" w:eastAsia="黑体"/>
          <w:sz w:val="32"/>
          <w:szCs w:val="21"/>
        </w:rPr>
      </w:pPr>
      <w:r>
        <w:rPr>
          <w:rFonts w:hint="eastAsia" w:ascii="黑体" w:eastAsia="黑体"/>
          <w:sz w:val="32"/>
          <w:szCs w:val="21"/>
        </w:rPr>
        <w:t>201</w:t>
      </w:r>
      <w:r>
        <w:rPr>
          <w:rFonts w:hint="eastAsia" w:ascii="黑体" w:eastAsia="黑体"/>
          <w:sz w:val="32"/>
          <w:szCs w:val="21"/>
          <w:lang w:val="en-US" w:eastAsia="zh-CN"/>
        </w:rPr>
        <w:t>9</w:t>
      </w:r>
      <w:r>
        <w:rPr>
          <w:rFonts w:hint="eastAsia" w:ascii="黑体" w:eastAsia="黑体"/>
          <w:sz w:val="32"/>
          <w:szCs w:val="21"/>
        </w:rPr>
        <w:t>年个人大额存单第</w:t>
      </w:r>
      <w:r>
        <w:rPr>
          <w:rFonts w:hint="eastAsia" w:ascii="黑体" w:eastAsia="黑体"/>
          <w:sz w:val="32"/>
          <w:szCs w:val="21"/>
          <w:lang w:val="en-US" w:eastAsia="zh-CN"/>
        </w:rPr>
        <w:t>29</w:t>
      </w:r>
      <w:r>
        <w:rPr>
          <w:rFonts w:hint="eastAsia" w:ascii="黑体" w:eastAsia="黑体"/>
          <w:sz w:val="32"/>
          <w:szCs w:val="21"/>
        </w:rPr>
        <w:t>期1年产品说明书</w:t>
      </w:r>
    </w:p>
    <w:p>
      <w:pPr>
        <w:spacing w:line="360" w:lineRule="auto"/>
        <w:rPr>
          <w:rFonts w:ascii="黑体" w:eastAsia="黑体"/>
          <w:sz w:val="24"/>
          <w:szCs w:val="24"/>
        </w:rPr>
      </w:pPr>
    </w:p>
    <w:p>
      <w:pPr>
        <w:spacing w:line="360" w:lineRule="exact"/>
        <w:ind w:firstLine="413" w:firstLineChars="196"/>
        <w:rPr>
          <w:rFonts w:ascii="仿宋_GB2312" w:eastAsia="仿宋_GB2312"/>
          <w:b/>
          <w:bCs/>
          <w:szCs w:val="21"/>
        </w:rPr>
      </w:pPr>
      <w:r>
        <w:rPr>
          <w:rFonts w:hint="eastAsia" w:ascii="仿宋_GB2312" w:eastAsia="仿宋_GB2312"/>
          <w:b/>
          <w:bCs/>
          <w:szCs w:val="21"/>
        </w:rPr>
        <w:t>一、产品要素</w:t>
      </w:r>
    </w:p>
    <w:tbl>
      <w:tblPr>
        <w:tblStyle w:val="6"/>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30"/>
        <w:gridCol w:w="65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产品名称</w:t>
            </w:r>
          </w:p>
        </w:tc>
        <w:tc>
          <w:tcPr>
            <w:tcW w:w="6542" w:type="dxa"/>
          </w:tcPr>
          <w:p>
            <w:pPr>
              <w:spacing w:line="360" w:lineRule="exact"/>
              <w:rPr>
                <w:rFonts w:ascii="仿宋_GB2312" w:eastAsia="仿宋_GB2312"/>
                <w:szCs w:val="21"/>
              </w:rPr>
            </w:pPr>
            <w:r>
              <w:rPr>
                <w:rFonts w:hint="eastAsia" w:ascii="仿宋_GB2312" w:hAnsi="宋体" w:eastAsia="仿宋_GB2312" w:cs="宋体"/>
                <w:color w:val="000000"/>
                <w:kern w:val="0"/>
                <w:sz w:val="21"/>
                <w:szCs w:val="21"/>
              </w:rPr>
              <w:t>201</w:t>
            </w:r>
            <w:r>
              <w:rPr>
                <w:rFonts w:hint="eastAsia" w:ascii="仿宋_GB2312" w:hAnsi="宋体" w:eastAsia="仿宋_GB2312" w:cs="宋体"/>
                <w:color w:val="000000"/>
                <w:kern w:val="0"/>
                <w:sz w:val="21"/>
                <w:szCs w:val="21"/>
                <w:lang w:val="en-US" w:eastAsia="zh-CN"/>
              </w:rPr>
              <w:t>9</w:t>
            </w:r>
            <w:r>
              <w:rPr>
                <w:rFonts w:hint="eastAsia" w:ascii="仿宋_GB2312" w:hAnsi="宋体" w:eastAsia="仿宋_GB2312" w:cs="宋体"/>
                <w:color w:val="000000"/>
                <w:kern w:val="0"/>
                <w:sz w:val="21"/>
                <w:szCs w:val="21"/>
              </w:rPr>
              <w:t>年个人大额存单第</w:t>
            </w:r>
            <w:r>
              <w:rPr>
                <w:rFonts w:hint="eastAsia" w:ascii="仿宋_GB2312" w:hAnsi="宋体" w:eastAsia="仿宋_GB2312" w:cs="宋体"/>
                <w:color w:val="000000"/>
                <w:kern w:val="0"/>
                <w:sz w:val="21"/>
                <w:szCs w:val="21"/>
                <w:lang w:val="en-US" w:eastAsia="zh-CN"/>
              </w:rPr>
              <w:t>29</w:t>
            </w:r>
            <w:r>
              <w:rPr>
                <w:rFonts w:hint="eastAsia" w:ascii="仿宋_GB2312" w:hAnsi="宋体" w:eastAsia="仿宋_GB2312" w:cs="宋体"/>
                <w:color w:val="000000"/>
                <w:kern w:val="0"/>
                <w:sz w:val="21"/>
                <w:szCs w:val="21"/>
              </w:rPr>
              <w:t>期1年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产品编号</w:t>
            </w:r>
          </w:p>
        </w:tc>
        <w:tc>
          <w:tcPr>
            <w:tcW w:w="6542" w:type="dxa"/>
          </w:tcPr>
          <w:p>
            <w:pPr>
              <w:spacing w:line="360" w:lineRule="exact"/>
              <w:rPr>
                <w:rFonts w:ascii="仿宋_GB2312" w:eastAsia="仿宋_GB2312"/>
                <w:szCs w:val="21"/>
              </w:rPr>
            </w:pPr>
            <w:r>
              <w:rPr>
                <w:rFonts w:hint="eastAsia" w:ascii="仿宋_GB2312" w:eastAsia="仿宋_GB2312"/>
                <w:szCs w:val="21"/>
              </w:rPr>
              <w:t>CRCB2019100101100000413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发行起止日</w:t>
            </w:r>
          </w:p>
        </w:tc>
        <w:tc>
          <w:tcPr>
            <w:tcW w:w="6542" w:type="dxa"/>
          </w:tcPr>
          <w:p>
            <w:pPr>
              <w:spacing w:line="360" w:lineRule="exact"/>
              <w:rPr>
                <w:rFonts w:ascii="仿宋_GB2312" w:eastAsia="仿宋_GB2312"/>
                <w:szCs w:val="21"/>
              </w:rPr>
            </w:pPr>
            <w:r>
              <w:rPr>
                <w:rFonts w:hint="eastAsia" w:ascii="仿宋_GB2312" w:eastAsia="仿宋_GB2312"/>
                <w:szCs w:val="21"/>
              </w:rPr>
              <w:t>201</w:t>
            </w:r>
            <w:r>
              <w:rPr>
                <w:rFonts w:hint="eastAsia" w:ascii="仿宋_GB2312" w:eastAsia="仿宋_GB2312"/>
                <w:szCs w:val="21"/>
                <w:lang w:val="en-US" w:eastAsia="zh-CN"/>
              </w:rPr>
              <w:t>9</w:t>
            </w:r>
            <w:r>
              <w:rPr>
                <w:rFonts w:hint="eastAsia" w:ascii="仿宋_GB2312" w:eastAsia="仿宋_GB2312"/>
                <w:szCs w:val="21"/>
              </w:rPr>
              <w:t>年</w:t>
            </w:r>
            <w:r>
              <w:rPr>
                <w:rFonts w:hint="eastAsia" w:ascii="仿宋_GB2312" w:eastAsia="仿宋_GB2312"/>
                <w:szCs w:val="21"/>
                <w:lang w:val="en-US" w:eastAsia="zh-CN"/>
              </w:rPr>
              <w:t>10</w:t>
            </w:r>
            <w:r>
              <w:rPr>
                <w:rFonts w:hint="eastAsia" w:ascii="仿宋_GB2312" w:eastAsia="仿宋_GB2312"/>
                <w:szCs w:val="21"/>
              </w:rPr>
              <w:t>月</w:t>
            </w:r>
            <w:r>
              <w:rPr>
                <w:rFonts w:hint="eastAsia" w:ascii="仿宋_GB2312" w:eastAsia="仿宋_GB2312"/>
                <w:szCs w:val="21"/>
                <w:lang w:val="en-US" w:eastAsia="zh-CN"/>
              </w:rPr>
              <w:t>1</w:t>
            </w:r>
            <w:r>
              <w:rPr>
                <w:rFonts w:hint="eastAsia" w:ascii="仿宋_GB2312" w:eastAsia="仿宋_GB2312"/>
                <w:szCs w:val="21"/>
              </w:rPr>
              <w:t>日—201</w:t>
            </w:r>
            <w:r>
              <w:rPr>
                <w:rFonts w:hint="eastAsia" w:ascii="仿宋_GB2312" w:eastAsia="仿宋_GB2312"/>
                <w:szCs w:val="21"/>
                <w:lang w:val="en-US" w:eastAsia="zh-CN"/>
              </w:rPr>
              <w:t>9</w:t>
            </w:r>
            <w:r>
              <w:rPr>
                <w:rFonts w:hint="eastAsia" w:ascii="仿宋_GB2312" w:eastAsia="仿宋_GB2312"/>
                <w:szCs w:val="21"/>
              </w:rPr>
              <w:t>年</w:t>
            </w:r>
            <w:r>
              <w:rPr>
                <w:rFonts w:hint="eastAsia" w:ascii="仿宋_GB2312" w:eastAsia="仿宋_GB2312"/>
                <w:szCs w:val="21"/>
                <w:lang w:val="en-US" w:eastAsia="zh-CN"/>
              </w:rPr>
              <w:t>10</w:t>
            </w:r>
            <w:r>
              <w:rPr>
                <w:rFonts w:hint="eastAsia" w:ascii="仿宋_GB2312" w:eastAsia="仿宋_GB2312"/>
                <w:szCs w:val="21"/>
              </w:rPr>
              <w:t>月</w:t>
            </w:r>
            <w:r>
              <w:rPr>
                <w:rFonts w:hint="eastAsia" w:ascii="仿宋_GB2312" w:eastAsia="仿宋_GB2312"/>
                <w:szCs w:val="21"/>
                <w:lang w:val="en-US" w:eastAsia="zh-CN"/>
              </w:rPr>
              <w:t>31</w:t>
            </w:r>
            <w:r>
              <w:rPr>
                <w:rFonts w:hint="eastAsia" w:ascii="仿宋_GB2312" w:eastAsia="仿宋_GB2312"/>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7" w:hRule="atLeast"/>
        </w:trPr>
        <w:tc>
          <w:tcPr>
            <w:tcW w:w="1930" w:type="dxa"/>
          </w:tcPr>
          <w:p>
            <w:pPr>
              <w:spacing w:line="360" w:lineRule="exact"/>
              <w:rPr>
                <w:rFonts w:ascii="仿宋_GB2312" w:eastAsia="仿宋_GB2312"/>
                <w:szCs w:val="21"/>
              </w:rPr>
            </w:pPr>
            <w:r>
              <w:rPr>
                <w:rFonts w:hint="eastAsia" w:ascii="仿宋_GB2312" w:eastAsia="仿宋_GB2312"/>
                <w:szCs w:val="21"/>
              </w:rPr>
              <w:t>产品期限</w:t>
            </w:r>
          </w:p>
        </w:tc>
        <w:tc>
          <w:tcPr>
            <w:tcW w:w="6542" w:type="dxa"/>
          </w:tcPr>
          <w:p>
            <w:pPr>
              <w:spacing w:line="360" w:lineRule="exact"/>
              <w:rPr>
                <w:rFonts w:ascii="仿宋_GB2312" w:eastAsia="仿宋_GB2312"/>
                <w:szCs w:val="21"/>
              </w:rPr>
            </w:pPr>
            <w:r>
              <w:rPr>
                <w:rFonts w:hint="eastAsia" w:ascii="仿宋_GB2312" w:eastAsia="仿宋_GB2312"/>
                <w:szCs w:val="21"/>
              </w:rPr>
              <w:t>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发售对象</w:t>
            </w:r>
          </w:p>
        </w:tc>
        <w:tc>
          <w:tcPr>
            <w:tcW w:w="6542" w:type="dxa"/>
          </w:tcPr>
          <w:p>
            <w:pPr>
              <w:spacing w:line="360" w:lineRule="exact"/>
              <w:rPr>
                <w:rFonts w:ascii="仿宋_GB2312" w:eastAsia="仿宋_GB2312"/>
                <w:szCs w:val="21"/>
              </w:rPr>
            </w:pPr>
            <w:r>
              <w:rPr>
                <w:rFonts w:hint="eastAsia" w:ascii="仿宋_GB2312" w:eastAsia="仿宋_GB2312"/>
                <w:szCs w:val="21"/>
              </w:rPr>
              <w:t>个人</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发售规模</w:t>
            </w:r>
          </w:p>
        </w:tc>
        <w:tc>
          <w:tcPr>
            <w:tcW w:w="6542" w:type="dxa"/>
          </w:tcPr>
          <w:p>
            <w:pPr>
              <w:spacing w:line="360" w:lineRule="exact"/>
              <w:rPr>
                <w:rFonts w:ascii="仿宋_GB2312" w:eastAsia="仿宋_GB2312"/>
                <w:szCs w:val="21"/>
              </w:rPr>
            </w:pPr>
            <w:r>
              <w:rPr>
                <w:rFonts w:hint="eastAsia" w:ascii="仿宋_GB2312" w:eastAsia="仿宋_GB2312"/>
                <w:szCs w:val="21"/>
                <w:lang w:val="en-US" w:eastAsia="zh-CN"/>
              </w:rPr>
              <w:t>3</w:t>
            </w:r>
            <w:r>
              <w:rPr>
                <w:rFonts w:hint="eastAsia" w:ascii="仿宋_GB2312" w:eastAsia="仿宋_GB2312"/>
                <w:szCs w:val="21"/>
              </w:rPr>
              <w:t>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币种</w:t>
            </w:r>
          </w:p>
        </w:tc>
        <w:tc>
          <w:tcPr>
            <w:tcW w:w="6542" w:type="dxa"/>
          </w:tcPr>
          <w:p>
            <w:pPr>
              <w:spacing w:line="360" w:lineRule="exact"/>
              <w:rPr>
                <w:rFonts w:ascii="仿宋_GB2312" w:eastAsia="仿宋_GB2312"/>
                <w:szCs w:val="21"/>
              </w:rPr>
            </w:pPr>
            <w:r>
              <w:rPr>
                <w:rFonts w:hint="eastAsia" w:ascii="仿宋_GB2312" w:eastAsia="仿宋_GB2312"/>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发行渠道</w:t>
            </w:r>
          </w:p>
        </w:tc>
        <w:tc>
          <w:tcPr>
            <w:tcW w:w="6542" w:type="dxa"/>
          </w:tcPr>
          <w:p>
            <w:pPr>
              <w:spacing w:line="360" w:lineRule="exact"/>
              <w:rPr>
                <w:rFonts w:ascii="仿宋_GB2312" w:eastAsia="仿宋_GB2312"/>
                <w:szCs w:val="21"/>
              </w:rPr>
            </w:pPr>
            <w:r>
              <w:rPr>
                <w:rFonts w:hint="eastAsia" w:ascii="仿宋_GB2312" w:eastAsia="仿宋_GB2312"/>
                <w:szCs w:val="21"/>
              </w:rPr>
              <w:t>网点柜面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认购起点金额</w:t>
            </w:r>
          </w:p>
        </w:tc>
        <w:tc>
          <w:tcPr>
            <w:tcW w:w="6542" w:type="dxa"/>
          </w:tcPr>
          <w:p>
            <w:pPr>
              <w:spacing w:line="360" w:lineRule="exact"/>
              <w:rPr>
                <w:rFonts w:ascii="仿宋_GB2312" w:eastAsia="仿宋_GB2312"/>
                <w:szCs w:val="21"/>
              </w:rPr>
            </w:pPr>
            <w:r>
              <w:rPr>
                <w:rFonts w:hint="eastAsia" w:ascii="仿宋_GB2312" w:eastAsia="仿宋_GB2312"/>
                <w:szCs w:val="21"/>
              </w:rPr>
              <w:t>20万元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递增金额</w:t>
            </w:r>
          </w:p>
        </w:tc>
        <w:tc>
          <w:tcPr>
            <w:tcW w:w="6542" w:type="dxa"/>
          </w:tcPr>
          <w:p>
            <w:pPr>
              <w:spacing w:line="360" w:lineRule="exact"/>
              <w:rPr>
                <w:rFonts w:ascii="仿宋_GB2312" w:eastAsia="仿宋_GB2312"/>
                <w:szCs w:val="21"/>
              </w:rPr>
            </w:pPr>
            <w:r>
              <w:rPr>
                <w:rFonts w:hint="eastAsia" w:ascii="仿宋_GB2312" w:eastAsia="仿宋_GB2312"/>
                <w:szCs w:val="21"/>
              </w:rPr>
              <w:t>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计息类型</w:t>
            </w:r>
          </w:p>
        </w:tc>
        <w:tc>
          <w:tcPr>
            <w:tcW w:w="6542" w:type="dxa"/>
          </w:tcPr>
          <w:p>
            <w:pPr>
              <w:spacing w:line="360" w:lineRule="exact"/>
              <w:rPr>
                <w:rFonts w:ascii="仿宋_GB2312" w:eastAsia="仿宋_GB2312"/>
                <w:szCs w:val="21"/>
              </w:rPr>
            </w:pPr>
            <w:r>
              <w:rPr>
                <w:rFonts w:hint="eastAsia" w:ascii="仿宋_GB2312" w:eastAsia="仿宋_GB2312"/>
                <w:szCs w:val="21"/>
              </w:rPr>
              <w:t>固定利率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年利率（</w:t>
            </w:r>
            <w:r>
              <w:rPr>
                <w:rFonts w:ascii="仿宋_GB2312" w:eastAsia="仿宋_GB2312"/>
                <w:szCs w:val="21"/>
              </w:rPr>
              <w:t>%</w:t>
            </w:r>
            <w:r>
              <w:rPr>
                <w:rFonts w:hint="eastAsia" w:ascii="仿宋_GB2312" w:eastAsia="仿宋_GB2312"/>
                <w:szCs w:val="21"/>
              </w:rPr>
              <w:t>）</w:t>
            </w:r>
          </w:p>
        </w:tc>
        <w:tc>
          <w:tcPr>
            <w:tcW w:w="6542" w:type="dxa"/>
          </w:tcPr>
          <w:p>
            <w:pPr>
              <w:spacing w:line="360" w:lineRule="exact"/>
              <w:rPr>
                <w:rFonts w:ascii="仿宋_GB2312" w:eastAsia="仿宋_GB2312"/>
                <w:szCs w:val="21"/>
              </w:rPr>
            </w:pPr>
            <w:r>
              <w:rPr>
                <w:rFonts w:hint="eastAsia" w:ascii="仿宋_GB2312" w:eastAsia="仿宋_GB2312"/>
                <w:szCs w:val="21"/>
              </w:rPr>
              <w:t>2.</w:t>
            </w:r>
            <w:r>
              <w:rPr>
                <w:rFonts w:hint="eastAsia" w:ascii="仿宋_GB2312" w:eastAsia="仿宋_GB2312"/>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付息方式</w:t>
            </w:r>
          </w:p>
        </w:tc>
        <w:tc>
          <w:tcPr>
            <w:tcW w:w="6542" w:type="dxa"/>
          </w:tcPr>
          <w:p>
            <w:pPr>
              <w:spacing w:line="360" w:lineRule="exact"/>
              <w:rPr>
                <w:rFonts w:ascii="仿宋_GB2312" w:eastAsia="仿宋_GB2312"/>
                <w:szCs w:val="21"/>
              </w:rPr>
            </w:pPr>
            <w:r>
              <w:rPr>
                <w:rFonts w:hint="eastAsia" w:ascii="仿宋_GB2312" w:eastAsia="仿宋_GB2312"/>
                <w:szCs w:val="21"/>
              </w:rPr>
              <w:t>到期一次还本付息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起息日</w:t>
            </w:r>
          </w:p>
        </w:tc>
        <w:tc>
          <w:tcPr>
            <w:tcW w:w="6542" w:type="dxa"/>
          </w:tcPr>
          <w:p>
            <w:pPr>
              <w:spacing w:line="360" w:lineRule="exact"/>
              <w:rPr>
                <w:rFonts w:ascii="仿宋_GB2312" w:eastAsia="仿宋_GB2312"/>
                <w:szCs w:val="21"/>
              </w:rPr>
            </w:pPr>
            <w:r>
              <w:rPr>
                <w:rFonts w:hint="eastAsia" w:ascii="仿宋_GB2312" w:eastAsia="仿宋_GB2312"/>
                <w:szCs w:val="21"/>
              </w:rPr>
              <w:t>购买成功当日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到期日</w:t>
            </w:r>
          </w:p>
        </w:tc>
        <w:tc>
          <w:tcPr>
            <w:tcW w:w="6542" w:type="dxa"/>
          </w:tcPr>
          <w:p>
            <w:pPr>
              <w:spacing w:line="360" w:lineRule="exact"/>
              <w:rPr>
                <w:rFonts w:ascii="仿宋_GB2312" w:eastAsia="仿宋_GB2312"/>
                <w:szCs w:val="21"/>
              </w:rPr>
            </w:pPr>
            <w:r>
              <w:rPr>
                <w:rFonts w:hint="eastAsia" w:ascii="仿宋_GB2312" w:eastAsia="仿宋_GB2312"/>
                <w:szCs w:val="21"/>
              </w:rPr>
              <w:t>起息日起满1年，对年对月对日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7" w:hRule="atLeast"/>
        </w:trPr>
        <w:tc>
          <w:tcPr>
            <w:tcW w:w="1930" w:type="dxa"/>
          </w:tcPr>
          <w:p>
            <w:pPr>
              <w:spacing w:line="360" w:lineRule="exact"/>
              <w:rPr>
                <w:rFonts w:ascii="仿宋_GB2312" w:eastAsia="仿宋_GB2312"/>
                <w:szCs w:val="21"/>
              </w:rPr>
            </w:pPr>
            <w:r>
              <w:rPr>
                <w:rFonts w:hint="eastAsia" w:ascii="仿宋_GB2312" w:eastAsia="仿宋_GB2312"/>
                <w:szCs w:val="21"/>
              </w:rPr>
              <w:t>兑付日</w:t>
            </w:r>
          </w:p>
        </w:tc>
        <w:tc>
          <w:tcPr>
            <w:tcW w:w="6542" w:type="dxa"/>
          </w:tcPr>
          <w:p>
            <w:pPr>
              <w:spacing w:line="360" w:lineRule="exact"/>
              <w:rPr>
                <w:rFonts w:ascii="仿宋_GB2312" w:eastAsia="仿宋_GB2312"/>
                <w:szCs w:val="21"/>
              </w:rPr>
            </w:pPr>
            <w:r>
              <w:rPr>
                <w:rFonts w:hint="eastAsia" w:ascii="仿宋_GB2312" w:eastAsia="仿宋_GB2312"/>
                <w:szCs w:val="21"/>
              </w:rPr>
              <w:t>到期当日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vAlign w:val="center"/>
          </w:tcPr>
          <w:p>
            <w:pPr>
              <w:spacing w:line="360" w:lineRule="exact"/>
              <w:rPr>
                <w:rFonts w:ascii="仿宋_GB2312" w:eastAsia="仿宋_GB2312"/>
                <w:szCs w:val="21"/>
              </w:rPr>
            </w:pPr>
            <w:r>
              <w:rPr>
                <w:rFonts w:hint="eastAsia" w:ascii="仿宋_GB2312" w:eastAsia="仿宋_GB2312"/>
                <w:szCs w:val="21"/>
              </w:rPr>
              <w:t>提前支取</w:t>
            </w:r>
          </w:p>
        </w:tc>
        <w:tc>
          <w:tcPr>
            <w:tcW w:w="6542" w:type="dxa"/>
          </w:tcPr>
          <w:p>
            <w:pPr>
              <w:spacing w:line="360" w:lineRule="exact"/>
              <w:rPr>
                <w:rFonts w:ascii="仿宋_GB2312" w:eastAsia="仿宋_GB2312"/>
                <w:szCs w:val="21"/>
              </w:rPr>
            </w:pPr>
            <w:r>
              <w:rPr>
                <w:rFonts w:hint="eastAsia" w:ascii="仿宋_GB2312" w:eastAsia="仿宋_GB2312"/>
                <w:szCs w:val="21"/>
              </w:rPr>
              <w:t>1、提前支取部分按支取日常熟农商银行活期存款挂牌利率计息；剩余部分仍遵从原存单计息规则。</w:t>
            </w:r>
          </w:p>
          <w:p>
            <w:pPr>
              <w:spacing w:line="360" w:lineRule="exact"/>
              <w:rPr>
                <w:rFonts w:ascii="仿宋_GB2312" w:eastAsia="仿宋_GB2312"/>
                <w:szCs w:val="21"/>
              </w:rPr>
            </w:pPr>
            <w:r>
              <w:rPr>
                <w:rFonts w:hint="eastAsia" w:ascii="仿宋_GB2312" w:eastAsia="仿宋_GB2312"/>
                <w:szCs w:val="21"/>
              </w:rPr>
              <w:t>2、期限内允许全部或部分提前支取</w:t>
            </w:r>
            <w:r>
              <w:rPr>
                <w:rFonts w:ascii="仿宋_GB2312" w:eastAsia="仿宋_GB2312"/>
                <w:szCs w:val="21"/>
              </w:rPr>
              <w:t>1</w:t>
            </w:r>
            <w:r>
              <w:rPr>
                <w:rFonts w:hint="eastAsia" w:ascii="仿宋_GB2312" w:eastAsia="仿宋_GB2312"/>
                <w:szCs w:val="21"/>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trPr>
        <w:tc>
          <w:tcPr>
            <w:tcW w:w="1930" w:type="dxa"/>
            <w:vAlign w:val="center"/>
          </w:tcPr>
          <w:p>
            <w:pPr>
              <w:spacing w:line="360" w:lineRule="exact"/>
              <w:rPr>
                <w:rFonts w:ascii="仿宋_GB2312" w:eastAsia="仿宋_GB2312"/>
                <w:szCs w:val="21"/>
              </w:rPr>
            </w:pPr>
            <w:r>
              <w:rPr>
                <w:rFonts w:hint="eastAsia" w:ascii="仿宋_GB2312" w:eastAsia="仿宋_GB2312"/>
                <w:szCs w:val="21"/>
              </w:rPr>
              <w:t>人工兑付</w:t>
            </w:r>
          </w:p>
        </w:tc>
        <w:tc>
          <w:tcPr>
            <w:tcW w:w="6542" w:type="dxa"/>
            <w:vAlign w:val="center"/>
          </w:tcPr>
          <w:p>
            <w:pPr>
              <w:spacing w:line="360" w:lineRule="exact"/>
              <w:rPr>
                <w:rFonts w:ascii="仿宋_GB2312" w:eastAsia="仿宋_GB2312"/>
                <w:szCs w:val="21"/>
              </w:rPr>
            </w:pPr>
            <w:r>
              <w:rPr>
                <w:rFonts w:hint="eastAsia" w:ascii="仿宋_GB2312" w:eastAsia="仿宋_GB2312"/>
                <w:szCs w:val="21"/>
              </w:rPr>
              <w:t>1、到期未能自动兑付的大额存单，</w:t>
            </w:r>
            <w:r>
              <w:rPr>
                <w:rFonts w:hint="eastAsia" w:ascii="仿宋_GB2312" w:hAnsi="宋体" w:eastAsia="仿宋_GB2312" w:cs="宋体"/>
                <w:color w:val="000000"/>
                <w:kern w:val="0"/>
                <w:szCs w:val="21"/>
              </w:rPr>
              <w:t>待存单状态正常后，投资人可本人或委托他人至我行网点柜面办理人工兑付，相关手续同认购部分。</w:t>
            </w:r>
          </w:p>
          <w:p>
            <w:pPr>
              <w:spacing w:line="360" w:lineRule="exact"/>
              <w:rPr>
                <w:rFonts w:ascii="仿宋_GB2312" w:eastAsia="仿宋_GB2312"/>
                <w:szCs w:val="21"/>
              </w:rPr>
            </w:pPr>
            <w:r>
              <w:rPr>
                <w:rFonts w:hint="eastAsia" w:ascii="仿宋_GB2312" w:hAnsi="宋体" w:eastAsia="仿宋_GB2312" w:cs="宋体"/>
                <w:bCs/>
                <w:color w:val="000000"/>
                <w:kern w:val="0"/>
                <w:szCs w:val="21"/>
              </w:rPr>
              <w:t>2、大额存单到期日至实际兑付日的利息按照实际兑付日我行挂牌活期存款利率计算。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trPr>
        <w:tc>
          <w:tcPr>
            <w:tcW w:w="1930" w:type="dxa"/>
          </w:tcPr>
          <w:p>
            <w:pPr>
              <w:spacing w:line="360" w:lineRule="exact"/>
              <w:rPr>
                <w:rFonts w:ascii="仿宋_GB2312" w:eastAsia="仿宋_GB2312"/>
                <w:szCs w:val="21"/>
              </w:rPr>
            </w:pPr>
            <w:r>
              <w:rPr>
                <w:rFonts w:hint="eastAsia" w:ascii="仿宋_GB2312" w:eastAsia="仿宋_GB2312"/>
                <w:szCs w:val="21"/>
              </w:rPr>
              <w:t>赎回</w:t>
            </w:r>
          </w:p>
        </w:tc>
        <w:tc>
          <w:tcPr>
            <w:tcW w:w="6542" w:type="dxa"/>
          </w:tcPr>
          <w:p>
            <w:pPr>
              <w:spacing w:line="360" w:lineRule="exact"/>
              <w:rPr>
                <w:rFonts w:ascii="仿宋_GB2312" w:eastAsia="仿宋_GB2312"/>
                <w:szCs w:val="21"/>
              </w:rPr>
            </w:pPr>
            <w:r>
              <w:rPr>
                <w:rFonts w:hint="eastAsia" w:ascii="仿宋_GB2312" w:eastAsia="仿宋_GB2312"/>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转让</w:t>
            </w:r>
          </w:p>
        </w:tc>
        <w:tc>
          <w:tcPr>
            <w:tcW w:w="6542" w:type="dxa"/>
          </w:tcPr>
          <w:p>
            <w:pPr>
              <w:spacing w:line="360" w:lineRule="exact"/>
              <w:rPr>
                <w:rFonts w:ascii="仿宋_GB2312" w:eastAsia="仿宋_GB2312"/>
                <w:szCs w:val="21"/>
              </w:rPr>
            </w:pPr>
            <w:r>
              <w:rPr>
                <w:rFonts w:hint="eastAsia" w:ascii="仿宋_GB2312" w:eastAsia="仿宋_GB2312"/>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附属条款</w:t>
            </w:r>
          </w:p>
        </w:tc>
        <w:tc>
          <w:tcPr>
            <w:tcW w:w="6542" w:type="dxa"/>
          </w:tcPr>
          <w:p>
            <w:pPr>
              <w:spacing w:line="360" w:lineRule="exact"/>
              <w:rPr>
                <w:rFonts w:ascii="仿宋_GB2312" w:eastAsia="仿宋_GB2312"/>
                <w:szCs w:val="21"/>
              </w:rPr>
            </w:pPr>
            <w:r>
              <w:rPr>
                <w:rFonts w:hint="eastAsia" w:ascii="仿宋_GB2312" w:eastAsia="仿宋_GB2312"/>
                <w:szCs w:val="21"/>
              </w:rPr>
              <w:t>可办理质押、开立大额存单持有证明、开立资信证明。</w:t>
            </w:r>
          </w:p>
        </w:tc>
      </w:tr>
    </w:tbl>
    <w:p>
      <w:pPr>
        <w:spacing w:line="360" w:lineRule="exact"/>
        <w:ind w:firstLine="422" w:firstLineChars="200"/>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二、认购</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本期产品采用电子化存单，投资人须在我行开立个人结算账户，在我行网点持本人有效身份证件并填写《大额存单交易信息表》办理认购。</w:t>
      </w:r>
      <w:r>
        <w:rPr>
          <w:rFonts w:hint="eastAsia" w:ascii="仿宋_GB2312" w:hAnsi="宋体" w:eastAsia="仿宋_GB2312" w:cs="宋体"/>
          <w:b/>
          <w:color w:val="000000"/>
          <w:kern w:val="0"/>
          <w:szCs w:val="21"/>
        </w:rPr>
        <w:t>投资人经网点在申请书上签字确认，即表示其已全部知晓并充分理解、同意本产品说明书全部条款。</w:t>
      </w:r>
    </w:p>
    <w:p>
      <w:pPr>
        <w:widowControl/>
        <w:adjustRightInd w:val="0"/>
        <w:spacing w:line="360" w:lineRule="exact"/>
        <w:ind w:firstLine="420" w:firstLineChars="200"/>
        <w:jc w:val="left"/>
        <w:rPr>
          <w:rFonts w:ascii="仿宋_GB2312" w:hAnsi="宋体" w:eastAsia="仿宋_GB2312" w:cs="宋体"/>
          <w:b/>
          <w:color w:val="000000"/>
          <w:kern w:val="0"/>
          <w:szCs w:val="21"/>
        </w:rPr>
      </w:pPr>
      <w:r>
        <w:rPr>
          <w:rFonts w:hint="eastAsia" w:ascii="仿宋_GB2312" w:hAnsi="宋体" w:eastAsia="仿宋_GB2312" w:cs="宋体"/>
          <w:color w:val="000000"/>
          <w:kern w:val="0"/>
          <w:szCs w:val="21"/>
        </w:rPr>
        <w:t>投资人委托他人代理认购的，代理人须持其本人有效身份证件及投资人借记卡或存折、投资人有效身份证件，在我行网点代理投资人办理认购手续。</w:t>
      </w:r>
      <w:r>
        <w:rPr>
          <w:rFonts w:hint="eastAsia" w:ascii="仿宋_GB2312" w:hAnsi="宋体" w:eastAsia="仿宋_GB2312" w:cs="宋体"/>
          <w:b/>
          <w:color w:val="000000"/>
          <w:kern w:val="0"/>
          <w:szCs w:val="21"/>
        </w:rPr>
        <w:t>代理人在《大额存单交易信息表》上签字确认，视同投资人已全部知晓并充分理解、同意本产品说明书全部条款。</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我行根据经营策略制定每期大额存单计划发行规模，客户认购成功额度即冲减计划发行规模，售完即止。</w:t>
      </w:r>
    </w:p>
    <w:p>
      <w:pPr>
        <w:widowControl/>
        <w:spacing w:line="360" w:lineRule="exact"/>
        <w:ind w:firstLine="413" w:firstLineChars="196"/>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认购期内如遇人行存款利率调整则提前终止发行。</w:t>
      </w:r>
    </w:p>
    <w:p>
      <w:pPr>
        <w:widowControl/>
        <w:spacing w:line="360" w:lineRule="exact"/>
        <w:ind w:firstLine="413" w:firstLineChars="196"/>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三、提前支取</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投资人可在存单未到期前，申请办理全部或部分提前支取</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次。</w:t>
      </w:r>
      <w:r>
        <w:rPr>
          <w:rFonts w:hint="eastAsia" w:ascii="仿宋_GB2312" w:hAnsi="宋体" w:eastAsia="仿宋_GB2312" w:cs="宋体"/>
          <w:bCs/>
          <w:color w:val="000000"/>
          <w:kern w:val="0"/>
          <w:szCs w:val="21"/>
        </w:rPr>
        <w:t>部分提前支取后，存单余额应不低于本期产品的认购起点金额（如低于本期产品的认购起点金额，应办理全额提前支取）。</w:t>
      </w:r>
      <w:r>
        <w:rPr>
          <w:rFonts w:hint="eastAsia" w:ascii="仿宋_GB2312" w:hAnsi="宋体" w:eastAsia="仿宋_GB2312" w:cs="宋体"/>
          <w:color w:val="000000"/>
          <w:kern w:val="0"/>
          <w:szCs w:val="21"/>
        </w:rPr>
        <w:t>因办理时段存款证明、质押、冻结等业务导致状态异常的大额存单不可提前支取。</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投资人可本人或委托他人在我行网点柜面办理提前支取，相关手续同认购部分。</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四、到期本息兑付</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大额存单到期后我行自动将本息资金划转到投资人到期兑付账户内，但因办理时段存款证明、质押、冻结等业务导致存单状态异常及到期兑付账户状态异常的大额存单不可自动兑付。</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五、特殊业务办理</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投资人可根据需要办理大额存单质押、</w:t>
      </w:r>
      <w:r>
        <w:rPr>
          <w:rFonts w:hint="eastAsia" w:ascii="仿宋_GB2312" w:eastAsia="仿宋_GB2312"/>
          <w:szCs w:val="21"/>
        </w:rPr>
        <w:t>开立大额存单持有证明、</w:t>
      </w:r>
      <w:r>
        <w:rPr>
          <w:rFonts w:hint="eastAsia" w:ascii="仿宋_GB2312" w:hAnsi="宋体" w:eastAsia="仿宋_GB2312" w:cs="宋体"/>
          <w:color w:val="000000"/>
          <w:kern w:val="0"/>
          <w:szCs w:val="21"/>
        </w:rPr>
        <w:t>开立资信证明等业务。</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六、查询</w:t>
      </w:r>
    </w:p>
    <w:p>
      <w:pPr>
        <w:widowControl/>
        <w:adjustRightInd w:val="0"/>
        <w:spacing w:line="360" w:lineRule="exact"/>
        <w:ind w:firstLine="420" w:firstLineChars="200"/>
        <w:jc w:val="left"/>
        <w:rPr>
          <w:rFonts w:ascii="仿宋_GB2312" w:eastAsia="仿宋_GB2312"/>
          <w:szCs w:val="21"/>
        </w:rPr>
      </w:pPr>
      <w:r>
        <w:rPr>
          <w:rFonts w:hint="eastAsia" w:ascii="仿宋_GB2312" w:hAnsi="宋体" w:eastAsia="仿宋_GB2312" w:cs="宋体"/>
          <w:color w:val="000000"/>
          <w:kern w:val="0"/>
          <w:szCs w:val="21"/>
        </w:rPr>
        <w:t>投资人可在我行网点、手机银行对本人名下的大额存单余额及明细进行查询。</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panose1 w:val="02010609030101010101"/>
    <w:charset w:val="86"/>
    <w:family w:val="decorative"/>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3CC"/>
    <w:rsid w:val="00044547"/>
    <w:rsid w:val="000E7C52"/>
    <w:rsid w:val="001C3D88"/>
    <w:rsid w:val="001F78E5"/>
    <w:rsid w:val="002567B6"/>
    <w:rsid w:val="002673B1"/>
    <w:rsid w:val="003A3B92"/>
    <w:rsid w:val="003C3E57"/>
    <w:rsid w:val="004D21A7"/>
    <w:rsid w:val="004E722D"/>
    <w:rsid w:val="005A59C7"/>
    <w:rsid w:val="005E53CC"/>
    <w:rsid w:val="00754C0D"/>
    <w:rsid w:val="00764981"/>
    <w:rsid w:val="00810737"/>
    <w:rsid w:val="008B3008"/>
    <w:rsid w:val="00B90A07"/>
    <w:rsid w:val="00B95FDB"/>
    <w:rsid w:val="00BC5106"/>
    <w:rsid w:val="00BC5D1C"/>
    <w:rsid w:val="00BF7B0C"/>
    <w:rsid w:val="00D029DC"/>
    <w:rsid w:val="00D56BE8"/>
    <w:rsid w:val="00D8029C"/>
    <w:rsid w:val="00D95E2B"/>
    <w:rsid w:val="00DB723C"/>
    <w:rsid w:val="00DF1305"/>
    <w:rsid w:val="00E72AF1"/>
    <w:rsid w:val="00E86AB4"/>
    <w:rsid w:val="00F344B5"/>
    <w:rsid w:val="00FB143D"/>
    <w:rsid w:val="013F0D14"/>
    <w:rsid w:val="02954871"/>
    <w:rsid w:val="03D9531D"/>
    <w:rsid w:val="0AE90B87"/>
    <w:rsid w:val="264C4F95"/>
    <w:rsid w:val="30425A1D"/>
    <w:rsid w:val="3484253B"/>
    <w:rsid w:val="38232435"/>
    <w:rsid w:val="4A02378A"/>
    <w:rsid w:val="4A5D47B4"/>
    <w:rsid w:val="4B1D1976"/>
    <w:rsid w:val="4D3960D2"/>
    <w:rsid w:val="50897DDA"/>
    <w:rsid w:val="5205603E"/>
    <w:rsid w:val="566024D5"/>
    <w:rsid w:val="5BB11026"/>
    <w:rsid w:val="5FBC7AB1"/>
    <w:rsid w:val="62A5137C"/>
    <w:rsid w:val="6A530D0A"/>
    <w:rsid w:val="6E9E5366"/>
    <w:rsid w:val="6FB91786"/>
    <w:rsid w:val="75736809"/>
    <w:rsid w:val="7624496E"/>
    <w:rsid w:val="77453EDA"/>
    <w:rsid w:val="7E957E81"/>
    <w:rsid w:val="7F535F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批注框文本 Char"/>
    <w:basedOn w:val="5"/>
    <w:link w:val="2"/>
    <w:semiHidden/>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171</Words>
  <Characters>975</Characters>
  <Lines>8</Lines>
  <Paragraphs>2</Paragraphs>
  <TotalTime>1</TotalTime>
  <ScaleCrop>false</ScaleCrop>
  <LinksUpToDate>false</LinksUpToDate>
  <CharactersWithSpaces>1144</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2018-03-19T08:36:00Z</dcterms:created>
  <dc:creator>王瑜</dc:creator>
  <cp:lastModifiedBy>goldgrid</cp:lastModifiedBy>
  <cp:lastPrinted>2016-12-31T02:55:00Z</cp:lastPrinted>
  <dcterms:modified xsi:type="dcterms:W3CDTF">2019-09-30T02:47:28Z</dcterms:modified>
  <dc:title>常熟农商银行**年第*期个人大额存单说明书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