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黑体" w:hAnsi="Calibri" w:eastAsia="黑体" w:cs="黑体"/>
          <w:sz w:val="32"/>
          <w:szCs w:val="32"/>
        </w:rPr>
      </w:pPr>
      <w:r>
        <w:rPr>
          <w:rFonts w:hint="eastAsia" w:ascii="黑体" w:hAnsi="Calibri" w:eastAsia="黑体" w:cs="黑体"/>
          <w:sz w:val="32"/>
          <w:szCs w:val="32"/>
          <w:lang w:bidi="ar"/>
        </w:rPr>
        <w:t>江苏常熟农村商业银行股份有限公司</w:t>
      </w:r>
    </w:p>
    <w:p>
      <w:pPr>
        <w:snapToGrid w:val="0"/>
        <w:jc w:val="center"/>
        <w:rPr>
          <w:rFonts w:ascii="黑体" w:hAnsi="Calibri" w:eastAsia="黑体" w:cs="黑体"/>
          <w:sz w:val="32"/>
          <w:szCs w:val="32"/>
        </w:rPr>
      </w:pPr>
      <w:r>
        <w:rPr>
          <w:rFonts w:hint="eastAsia" w:ascii="黑体" w:hAnsi="Calibri" w:eastAsia="黑体" w:cs="黑体"/>
          <w:sz w:val="32"/>
          <w:szCs w:val="32"/>
          <w:lang w:bidi="ar"/>
        </w:rPr>
        <w:t>201</w:t>
      </w:r>
      <w:r>
        <w:rPr>
          <w:rFonts w:hint="eastAsia" w:ascii="黑体" w:hAnsi="Calibri" w:eastAsia="黑体" w:cs="黑体"/>
          <w:sz w:val="32"/>
          <w:szCs w:val="32"/>
          <w:lang w:val="en-US" w:eastAsia="zh-CN" w:bidi="ar"/>
        </w:rPr>
        <w:t>9</w:t>
      </w:r>
      <w:r>
        <w:rPr>
          <w:rFonts w:hint="eastAsia" w:ascii="黑体" w:hAnsi="Calibri" w:eastAsia="黑体" w:cs="黑体"/>
          <w:sz w:val="32"/>
          <w:szCs w:val="32"/>
          <w:lang w:bidi="ar"/>
        </w:rPr>
        <w:t>年个人大额存单2.0第</w:t>
      </w:r>
      <w:r>
        <w:rPr>
          <w:rFonts w:hint="eastAsia" w:ascii="黑体" w:hAnsi="Calibri" w:eastAsia="黑体" w:cs="黑体"/>
          <w:sz w:val="32"/>
          <w:szCs w:val="32"/>
          <w:lang w:val="en-US" w:eastAsia="zh-CN" w:bidi="ar"/>
        </w:rPr>
        <w:t>6</w:t>
      </w:r>
      <w:r>
        <w:rPr>
          <w:rFonts w:hint="eastAsia" w:ascii="黑体" w:hAnsi="Calibri" w:eastAsia="黑体" w:cs="黑体"/>
          <w:sz w:val="32"/>
          <w:szCs w:val="32"/>
          <w:lang w:bidi="ar"/>
        </w:rPr>
        <w:t>期5年产品说明书</w:t>
      </w:r>
    </w:p>
    <w:p>
      <w:pPr>
        <w:snapToGrid w:val="0"/>
        <w:spacing w:line="360" w:lineRule="auto"/>
        <w:rPr>
          <w:rFonts w:ascii="黑体" w:hAnsi="Calibri" w:eastAsia="黑体" w:cs="黑体"/>
          <w:sz w:val="24"/>
        </w:rPr>
      </w:pPr>
      <w:r>
        <w:rPr>
          <w:rFonts w:hint="eastAsia" w:ascii="黑体" w:hAnsi="Calibri" w:eastAsia="黑体" w:cs="黑体"/>
          <w:sz w:val="24"/>
          <w:lang w:bidi="ar"/>
        </w:rPr>
        <w:t xml:space="preserve"> </w:t>
      </w:r>
    </w:p>
    <w:p>
      <w:pPr>
        <w:snapToGrid w:val="0"/>
        <w:spacing w:line="360" w:lineRule="exact"/>
        <w:ind w:firstLine="413" w:firstLineChars="196"/>
        <w:rPr>
          <w:rFonts w:ascii="仿宋_GB2312" w:hAnsi="Calibri" w:eastAsia="仿宋_GB2312" w:cs="黑体"/>
          <w:b/>
          <w:szCs w:val="21"/>
        </w:rPr>
      </w:pPr>
      <w:r>
        <w:rPr>
          <w:rFonts w:ascii="仿宋_GB2312" w:hAnsi="Calibri" w:eastAsia="仿宋_GB2312" w:cs="黑体"/>
          <w:b/>
          <w:szCs w:val="21"/>
          <w:lang w:bidi="ar"/>
        </w:rPr>
        <w:t>一、产品要素</w:t>
      </w:r>
    </w:p>
    <w:tbl>
      <w:tblPr>
        <w:tblStyle w:val="3"/>
        <w:tblW w:w="8472" w:type="dxa"/>
        <w:tblInd w:w="0" w:type="dxa"/>
        <w:tblLayout w:type="fixed"/>
        <w:tblCellMar>
          <w:top w:w="0" w:type="dxa"/>
          <w:left w:w="108" w:type="dxa"/>
          <w:bottom w:w="0" w:type="dxa"/>
          <w:right w:w="108" w:type="dxa"/>
        </w:tblCellMar>
      </w:tblPr>
      <w:tblGrid>
        <w:gridCol w:w="1930"/>
        <w:gridCol w:w="6542"/>
      </w:tblGrid>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产品名称</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宋体" w:eastAsia="仿宋_GB2312" w:cs="宋体"/>
                <w:color w:val="000000"/>
                <w:kern w:val="0"/>
                <w:sz w:val="21"/>
                <w:szCs w:val="21"/>
                <w:lang w:bidi="ar"/>
              </w:rPr>
              <w:t>201</w:t>
            </w:r>
            <w:r>
              <w:rPr>
                <w:rFonts w:hint="eastAsia" w:ascii="仿宋_GB2312" w:hAnsi="宋体" w:eastAsia="仿宋_GB2312" w:cs="宋体"/>
                <w:color w:val="000000"/>
                <w:kern w:val="0"/>
                <w:sz w:val="21"/>
                <w:szCs w:val="21"/>
                <w:lang w:val="en-US" w:eastAsia="zh-CN" w:bidi="ar"/>
              </w:rPr>
              <w:t>9</w:t>
            </w:r>
            <w:r>
              <w:rPr>
                <w:rFonts w:ascii="仿宋_GB2312" w:hAnsi="宋体" w:eastAsia="仿宋_GB2312" w:cs="宋体"/>
                <w:color w:val="000000"/>
                <w:kern w:val="0"/>
                <w:sz w:val="21"/>
                <w:szCs w:val="21"/>
                <w:lang w:bidi="ar"/>
              </w:rPr>
              <w:t>年个人大额存单</w:t>
            </w:r>
            <w:r>
              <w:rPr>
                <w:rFonts w:hint="eastAsia" w:ascii="仿宋_GB2312" w:hAnsi="宋体" w:eastAsia="仿宋_GB2312" w:cs="宋体"/>
                <w:color w:val="000000"/>
                <w:kern w:val="0"/>
                <w:sz w:val="21"/>
                <w:szCs w:val="21"/>
                <w:lang w:bidi="ar"/>
              </w:rPr>
              <w:t>2.0</w:t>
            </w:r>
            <w:r>
              <w:rPr>
                <w:rFonts w:ascii="仿宋_GB2312" w:hAnsi="宋体" w:eastAsia="仿宋_GB2312" w:cs="宋体"/>
                <w:color w:val="000000"/>
                <w:kern w:val="0"/>
                <w:sz w:val="21"/>
                <w:szCs w:val="21"/>
                <w:lang w:bidi="ar"/>
              </w:rPr>
              <w:t>第</w:t>
            </w:r>
            <w:r>
              <w:rPr>
                <w:rFonts w:hint="eastAsia" w:ascii="仿宋_GB2312" w:hAnsi="宋体" w:eastAsia="仿宋_GB2312" w:cs="宋体"/>
                <w:color w:val="000000"/>
                <w:kern w:val="0"/>
                <w:sz w:val="21"/>
                <w:szCs w:val="21"/>
                <w:lang w:val="en-US" w:eastAsia="zh-CN" w:bidi="ar"/>
              </w:rPr>
              <w:t>6</w:t>
            </w:r>
            <w:r>
              <w:rPr>
                <w:rFonts w:ascii="仿宋_GB2312" w:hAnsi="宋体" w:eastAsia="仿宋_GB2312" w:cs="宋体"/>
                <w:color w:val="000000"/>
                <w:kern w:val="0"/>
                <w:sz w:val="21"/>
                <w:szCs w:val="21"/>
                <w:lang w:bidi="ar"/>
              </w:rPr>
              <w:t>期</w:t>
            </w:r>
            <w:r>
              <w:rPr>
                <w:rFonts w:hint="eastAsia" w:ascii="仿宋_GB2312" w:hAnsi="宋体" w:eastAsia="仿宋_GB2312" w:cs="宋体"/>
                <w:color w:val="000000"/>
                <w:kern w:val="0"/>
                <w:sz w:val="21"/>
                <w:szCs w:val="21"/>
                <w:lang w:bidi="ar"/>
              </w:rPr>
              <w:t>5</w:t>
            </w:r>
            <w:r>
              <w:rPr>
                <w:rFonts w:ascii="仿宋_GB2312" w:hAnsi="宋体" w:eastAsia="仿宋_GB2312" w:cs="宋体"/>
                <w:color w:val="000000"/>
                <w:kern w:val="0"/>
                <w:sz w:val="21"/>
                <w:szCs w:val="21"/>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产品编号</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rPr>
              <w:t>CRCB2019070105100000384</w:t>
            </w:r>
            <w:bookmarkStart w:id="0" w:name="_GoBack"/>
            <w:bookmarkEnd w:id="0"/>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发行起止日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201</w:t>
            </w:r>
            <w:r>
              <w:rPr>
                <w:rFonts w:hint="eastAsia" w:ascii="仿宋_GB2312" w:hAnsi="Calibri" w:eastAsia="仿宋_GB2312" w:cs="黑体"/>
                <w:szCs w:val="21"/>
                <w:lang w:val="en-US" w:eastAsia="zh-CN" w:bidi="ar"/>
              </w:rPr>
              <w:t>9</w:t>
            </w:r>
            <w:r>
              <w:rPr>
                <w:rFonts w:ascii="仿宋_GB2312" w:hAnsi="Calibri" w:eastAsia="仿宋_GB2312" w:cs="黑体"/>
                <w:szCs w:val="21"/>
                <w:lang w:bidi="ar"/>
              </w:rPr>
              <w:t>年</w:t>
            </w:r>
            <w:r>
              <w:rPr>
                <w:rFonts w:hint="eastAsia" w:ascii="仿宋_GB2312" w:hAnsi="Calibri" w:eastAsia="仿宋_GB2312" w:cs="黑体"/>
                <w:szCs w:val="21"/>
                <w:lang w:val="en-US" w:eastAsia="zh-CN" w:bidi="ar"/>
              </w:rPr>
              <w:t>7</w:t>
            </w:r>
            <w:r>
              <w:rPr>
                <w:rFonts w:ascii="仿宋_GB2312" w:hAnsi="Calibri" w:eastAsia="仿宋_GB2312" w:cs="黑体"/>
                <w:szCs w:val="21"/>
                <w:lang w:bidi="ar"/>
              </w:rPr>
              <w:t>月1日—201</w:t>
            </w:r>
            <w:r>
              <w:rPr>
                <w:rFonts w:hint="eastAsia" w:ascii="仿宋_GB2312" w:hAnsi="Calibri" w:eastAsia="仿宋_GB2312" w:cs="黑体"/>
                <w:szCs w:val="21"/>
                <w:lang w:val="en-US" w:eastAsia="zh-CN" w:bidi="ar"/>
              </w:rPr>
              <w:t>9</w:t>
            </w:r>
            <w:r>
              <w:rPr>
                <w:rFonts w:ascii="仿宋_GB2312" w:hAnsi="Calibri" w:eastAsia="仿宋_GB2312" w:cs="黑体"/>
                <w:szCs w:val="21"/>
                <w:lang w:bidi="ar"/>
              </w:rPr>
              <w:t>年</w:t>
            </w:r>
            <w:r>
              <w:rPr>
                <w:rFonts w:hint="eastAsia" w:ascii="仿宋_GB2312" w:hAnsi="Calibri" w:eastAsia="仿宋_GB2312" w:cs="黑体"/>
                <w:szCs w:val="21"/>
                <w:lang w:val="en-US" w:eastAsia="zh-CN" w:bidi="ar"/>
              </w:rPr>
              <w:t>9</w:t>
            </w:r>
            <w:r>
              <w:rPr>
                <w:rFonts w:ascii="仿宋_GB2312" w:hAnsi="Calibri" w:eastAsia="仿宋_GB2312" w:cs="黑体"/>
                <w:szCs w:val="21"/>
                <w:lang w:bidi="ar"/>
              </w:rPr>
              <w:t>月</w:t>
            </w:r>
            <w:r>
              <w:rPr>
                <w:rFonts w:hint="eastAsia" w:ascii="仿宋_GB2312" w:hAnsi="Calibri" w:eastAsia="仿宋_GB2312" w:cs="黑体"/>
                <w:szCs w:val="21"/>
                <w:lang w:val="en-US" w:eastAsia="zh-CN" w:bidi="ar"/>
              </w:rPr>
              <w:t>30</w:t>
            </w:r>
            <w:r>
              <w:rPr>
                <w:rFonts w:ascii="仿宋_GB2312" w:hAnsi="Calibri" w:eastAsia="仿宋_GB2312" w:cs="黑体"/>
                <w:szCs w:val="21"/>
                <w:lang w:bidi="ar"/>
              </w:rPr>
              <w:t>日</w:t>
            </w:r>
          </w:p>
        </w:tc>
      </w:tr>
      <w:tr>
        <w:tblPrEx>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产品期限</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5</w:t>
            </w:r>
            <w:r>
              <w:rPr>
                <w:rFonts w:ascii="仿宋_GB2312" w:hAnsi="Calibri" w:eastAsia="仿宋_GB2312" w:cs="黑体"/>
                <w:szCs w:val="21"/>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发售对象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个人</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发售规模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val="en-US" w:eastAsia="zh-CN" w:bidi="ar"/>
              </w:rPr>
              <w:t>5</w:t>
            </w:r>
            <w:r>
              <w:rPr>
                <w:rFonts w:ascii="仿宋_GB2312" w:hAnsi="Calibri" w:eastAsia="仿宋_GB2312" w:cs="黑体"/>
                <w:szCs w:val="21"/>
                <w:lang w:bidi="ar"/>
              </w:rPr>
              <w:t>亿元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币种</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人民币</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发行渠道</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网点柜面</w:t>
            </w:r>
            <w:r>
              <w:rPr>
                <w:rFonts w:hint="eastAsia" w:ascii="仿宋_GB2312" w:hAnsi="Calibri" w:eastAsia="仿宋_GB2312" w:cs="黑体"/>
                <w:szCs w:val="21"/>
                <w:lang w:eastAsia="zh-CN" w:bidi="ar"/>
              </w:rPr>
              <w:t>、手机银行</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20万元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递增金额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1万元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计息类型</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固定利率</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年利率（%）</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4.2625</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付息方式</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按月付息、到期还本</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购买成功当日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起息日起满</w:t>
            </w:r>
            <w:r>
              <w:rPr>
                <w:rFonts w:hint="eastAsia" w:ascii="仿宋_GB2312" w:hAnsi="Calibri" w:eastAsia="仿宋_GB2312" w:cs="黑体"/>
                <w:szCs w:val="21"/>
                <w:lang w:bidi="ar"/>
              </w:rPr>
              <w:t>5</w:t>
            </w:r>
            <w:r>
              <w:rPr>
                <w:rFonts w:ascii="仿宋_GB2312" w:hAnsi="Calibri" w:eastAsia="仿宋_GB2312" w:cs="黑体"/>
                <w:szCs w:val="21"/>
                <w:lang w:bidi="ar"/>
              </w:rPr>
              <w:t>年，对年对月对日</w:t>
            </w:r>
          </w:p>
        </w:tc>
      </w:tr>
      <w:tr>
        <w:tblPrEx>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兑付日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付息日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lang w:bidi="ar"/>
              </w:rPr>
            </w:pPr>
            <w:r>
              <w:rPr>
                <w:rFonts w:ascii="仿宋_GB2312" w:hAnsi="Calibri" w:eastAsia="仿宋_GB2312" w:cs="黑体"/>
                <w:szCs w:val="21"/>
                <w:lang w:bidi="ar"/>
              </w:rPr>
              <w:t>每月10日，存单到期日</w:t>
            </w:r>
            <w:r>
              <w:rPr>
                <w:rFonts w:ascii="仿宋_GB2312" w:hAnsi="Calibri" w:eastAsia="仿宋_GB2312" w:cs="黑体"/>
                <w:b/>
                <w:bCs/>
                <w:szCs w:val="21"/>
                <w:lang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szCs w:val="21"/>
                <w:lang w:bidi="ar"/>
              </w:rPr>
              <w:t>）</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提前支取</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1、提前支取部分按支取日常熟农商银行活期存款挂牌利率计息；剩余部分仍遵从原存单计息规则。</w:t>
            </w:r>
            <w:r>
              <w:rPr>
                <w:rFonts w:hint="eastAsia" w:ascii="仿宋_GB2312" w:hAnsi="Calibri" w:eastAsia="仿宋_GB2312" w:cs="黑体"/>
                <w:szCs w:val="21"/>
                <w:lang w:bidi="ar"/>
              </w:rPr>
              <w:t>（</w:t>
            </w:r>
            <w:r>
              <w:rPr>
                <w:rFonts w:ascii="仿宋_GB2312" w:hAnsi="Calibri" w:eastAsia="仿宋_GB2312" w:cs="黑体"/>
                <w:b/>
                <w:bCs/>
                <w:szCs w:val="21"/>
                <w:lang w:bidi="ar"/>
              </w:rPr>
              <w:t>若发生提前支取，支取本金对应的已付定期利息将优先从支取本金对应的提前支取利息中扣除，若不足抵扣，将从支取本金中扣除。</w:t>
            </w:r>
            <w:r>
              <w:rPr>
                <w:rFonts w:hint="default" w:ascii="仿宋_GB2312" w:hAnsi="Calibri" w:eastAsia="仿宋_GB2312" w:cs="黑体"/>
                <w:b/>
                <w:bCs/>
                <w:kern w:val="2"/>
                <w:sz w:val="21"/>
                <w:szCs w:val="21"/>
                <w:lang w:val="en-US" w:eastAsia="zh-CN" w:bidi="ar"/>
              </w:rPr>
              <w:t>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szCs w:val="21"/>
                <w:lang w:bidi="ar"/>
              </w:rPr>
              <w:t>）</w:t>
            </w:r>
          </w:p>
          <w:p>
            <w:pPr>
              <w:spacing w:line="360" w:lineRule="exact"/>
              <w:rPr>
                <w:rFonts w:ascii="仿宋_GB2312" w:hAnsi="Calibri" w:eastAsia="仿宋_GB2312" w:cs="黑体"/>
                <w:szCs w:val="21"/>
              </w:rPr>
            </w:pPr>
            <w:r>
              <w:rPr>
                <w:rFonts w:ascii="仿宋_GB2312" w:hAnsi="Calibri" w:eastAsia="仿宋_GB2312" w:cs="黑体"/>
                <w:szCs w:val="21"/>
                <w:lang w:bidi="ar"/>
              </w:rPr>
              <w:t>2、期限内允许全部或部分提前支取1次。</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宋体" w:eastAsia="仿宋_GB2312" w:cs="宋体"/>
                <w:color w:val="000000"/>
                <w:kern w:val="0"/>
                <w:szCs w:val="21"/>
                <w:lang w:bidi="ar"/>
              </w:rPr>
            </w:pPr>
            <w:r>
              <w:rPr>
                <w:rFonts w:ascii="仿宋_GB2312" w:hAnsi="宋体" w:eastAsia="仿宋_GB2312" w:cs="宋体"/>
                <w:color w:val="000000"/>
                <w:kern w:val="0"/>
                <w:szCs w:val="21"/>
                <w:lang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1、到期未能自动兑付的大额存单，</w:t>
            </w:r>
            <w:r>
              <w:rPr>
                <w:rFonts w:ascii="仿宋_GB2312" w:hAnsi="宋体" w:eastAsia="仿宋_GB2312" w:cs="宋体"/>
                <w:color w:val="000000"/>
                <w:kern w:val="0"/>
                <w:szCs w:val="21"/>
                <w:lang w:bidi="ar"/>
              </w:rPr>
              <w:t>待存单状态正常后，投资人可本人或委托他人至我行网点柜面办理人工兑付，相关手续同认购部分。</w:t>
            </w:r>
          </w:p>
          <w:p>
            <w:pPr>
              <w:spacing w:line="360" w:lineRule="exact"/>
              <w:rPr>
                <w:rFonts w:ascii="仿宋_GB2312" w:hAnsi="Calibri" w:eastAsia="仿宋_GB2312" w:cs="黑体"/>
                <w:szCs w:val="21"/>
              </w:rPr>
            </w:pPr>
            <w:r>
              <w:rPr>
                <w:rFonts w:ascii="仿宋_GB2312" w:hAnsi="宋体" w:eastAsia="仿宋_GB2312" w:cs="宋体"/>
                <w:color w:val="000000"/>
                <w:kern w:val="0"/>
                <w:szCs w:val="21"/>
                <w:lang w:bidi="ar"/>
              </w:rPr>
              <w:t>2、大额存单到期日至实际兑付日的利息按照实际兑付日我行挂牌活期存款利率计算。</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赎回</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转让</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附属条款</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可办理质押、开立大额存单持有证明、开立资信证明。</w:t>
            </w:r>
          </w:p>
        </w:tc>
      </w:tr>
    </w:tbl>
    <w:p>
      <w:pPr>
        <w:snapToGrid w:val="0"/>
        <w:spacing w:line="360" w:lineRule="exact"/>
        <w:ind w:firstLine="422" w:firstLineChars="200"/>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二、认购</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Cs w:val="21"/>
          <w:lang w:bidi="ar"/>
        </w:rPr>
        <w:t>2.0</w:t>
      </w:r>
      <w:r>
        <w:rPr>
          <w:rFonts w:ascii="仿宋_GB2312" w:hAnsi="宋体" w:eastAsia="仿宋_GB2312" w:cs="宋体"/>
          <w:color w:val="000000"/>
          <w:kern w:val="0"/>
          <w:szCs w:val="21"/>
          <w:lang w:bidi="ar"/>
        </w:rPr>
        <w:t>交易信息表》办理认购。</w:t>
      </w:r>
      <w:r>
        <w:rPr>
          <w:rFonts w:ascii="仿宋_GB2312" w:hAnsi="宋体" w:eastAsia="仿宋_GB2312" w:cs="宋体"/>
          <w:b/>
          <w:color w:val="000000"/>
          <w:kern w:val="0"/>
          <w:szCs w:val="21"/>
          <w:lang w:bidi="ar"/>
        </w:rPr>
        <w:t>投资人经网点在申请书上签字确认，即表示其已全部知晓并充分理解、同意本产品说明书全部条款。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b/>
          <w:color w:val="000000"/>
          <w:kern w:val="0"/>
          <w:szCs w:val="21"/>
        </w:rPr>
      </w:pPr>
      <w:r>
        <w:rPr>
          <w:rFonts w:ascii="仿宋_GB2312" w:hAnsi="宋体" w:eastAsia="仿宋_GB2312" w:cs="宋体"/>
          <w:color w:val="000000"/>
          <w:kern w:val="0"/>
          <w:szCs w:val="21"/>
          <w:lang w:bidi="ar"/>
        </w:rPr>
        <w:t>投资人委托他人代理认购的，代理人须持其本人有效身份证件及投资人借记卡或存折、投资人有效身份证件，在我行网点代理投资人办理认购手续。</w:t>
      </w:r>
      <w:r>
        <w:rPr>
          <w:rFonts w:ascii="仿宋_GB2312" w:hAnsi="宋体" w:eastAsia="仿宋_GB2312" w:cs="宋体"/>
          <w:b/>
          <w:color w:val="000000"/>
          <w:kern w:val="0"/>
          <w:szCs w:val="21"/>
          <w:lang w:bidi="ar"/>
        </w:rPr>
        <w:t>代理人在《大额存单</w:t>
      </w:r>
      <w:r>
        <w:rPr>
          <w:rFonts w:hint="eastAsia" w:ascii="仿宋_GB2312" w:hAnsi="宋体" w:eastAsia="仿宋_GB2312" w:cs="宋体"/>
          <w:b/>
          <w:color w:val="000000"/>
          <w:kern w:val="0"/>
          <w:szCs w:val="21"/>
          <w:lang w:val="en-US" w:eastAsia="zh-CN" w:bidi="ar"/>
        </w:rPr>
        <w:t>2.0</w:t>
      </w:r>
      <w:r>
        <w:rPr>
          <w:rFonts w:ascii="仿宋_GB2312" w:hAnsi="宋体" w:eastAsia="仿宋_GB2312" w:cs="宋体"/>
          <w:b/>
          <w:color w:val="000000"/>
          <w:kern w:val="0"/>
          <w:szCs w:val="21"/>
          <w:lang w:bidi="ar"/>
        </w:rPr>
        <w:t>交易信息表》上签字确认，视同投资人已全部知晓并充分理解、同意本产品说明书全部条款。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我行根据经营策略制定每期大额存单计划发行规模，客户认购成功额度即冲减计划发行规模，售完即止。</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认购期内如遇人行存款利率调整则提前终止发行。</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三、提前支取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投资人可本人或委托他人在我行网点柜面办理提前支取，相关手续同认购部分。</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四、到期本息兑付</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大额存单到期后我行自动将本息资金划转到投资人到期兑付账户内，但因办理时段存款证明、质押、冻结等业务导致存单状态异常及到期兑付账户状态异常的大额存单不可自动兑付。</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五、特殊业务办理</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投资人可根据需要办理大额存单质押、</w:t>
      </w:r>
      <w:r>
        <w:rPr>
          <w:rFonts w:ascii="仿宋_GB2312" w:hAnsi="Calibri" w:eastAsia="仿宋_GB2312" w:cs="黑体"/>
          <w:szCs w:val="21"/>
          <w:lang w:bidi="ar"/>
        </w:rPr>
        <w:t>开立大额存单持有证明、</w:t>
      </w:r>
      <w:r>
        <w:rPr>
          <w:rFonts w:ascii="仿宋_GB2312" w:hAnsi="宋体" w:eastAsia="仿宋_GB2312" w:cs="宋体"/>
          <w:color w:val="000000"/>
          <w:kern w:val="0"/>
          <w:szCs w:val="21"/>
          <w:lang w:bidi="ar"/>
        </w:rPr>
        <w:t>开立资信证明等业务。</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六、查询</w:t>
      </w:r>
    </w:p>
    <w:p>
      <w:pPr>
        <w:widowControl/>
        <w:adjustRightInd w:val="0"/>
        <w:snapToGrid w:val="0"/>
        <w:spacing w:line="360" w:lineRule="exact"/>
        <w:ind w:firstLine="420" w:firstLineChars="200"/>
        <w:jc w:val="left"/>
        <w:rPr>
          <w:rFonts w:ascii="仿宋_GB2312" w:hAnsi="Calibri" w:eastAsia="仿宋_GB2312" w:cs="黑体"/>
          <w:szCs w:val="21"/>
        </w:rPr>
      </w:pPr>
      <w:r>
        <w:rPr>
          <w:rFonts w:ascii="仿宋_GB2312" w:hAnsi="宋体" w:eastAsia="仿宋_GB2312" w:cs="宋体"/>
          <w:color w:val="000000"/>
          <w:kern w:val="0"/>
          <w:szCs w:val="21"/>
          <w:lang w:bidi="ar"/>
        </w:rPr>
        <w:t>投资人可在我行网点、手机银行对本人名下的大额存单余额及明细进行查询。</w:t>
      </w:r>
    </w:p>
    <w:p>
      <w:pPr>
        <w:widowControl/>
        <w:adjustRightInd w:val="0"/>
        <w:snapToGrid w:val="0"/>
        <w:spacing w:line="360" w:lineRule="exact"/>
        <w:ind w:firstLine="420" w:firstLineChars="200"/>
        <w:jc w:val="left"/>
        <w:rPr>
          <w:rFonts w:ascii="仿宋_GB2312" w:hAnsi="Calibri" w:eastAsia="仿宋_GB2312" w:cs="黑体"/>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Calibri Light">
    <w:altName w:val="Latha"/>
    <w:panose1 w:val="020F0302020204030204"/>
    <w:charset w:val="00"/>
    <w:family w:val="decorative"/>
    <w:pitch w:val="default"/>
    <w:sig w:usb0="00000000" w:usb1="00000000" w:usb2="00000000" w:usb3="00000000" w:csb0="2000019F"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微软雅黑">
    <w:altName w:val="黑体"/>
    <w:panose1 w:val="020B0503020204020204"/>
    <w:charset w:val="86"/>
    <w:family w:val="modern"/>
    <w:pitch w:val="default"/>
    <w:sig w:usb0="00000000" w:usb1="00000000" w:usb2="00000016" w:usb3="00000000" w:csb0="0004001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Latha"/>
    <w:panose1 w:val="020F0302020204030204"/>
    <w:charset w:val="00"/>
    <w:family w:val="roman"/>
    <w:pitch w:val="default"/>
    <w:sig w:usb0="00000000" w:usb1="00000000" w:usb2="00000000" w:usb3="00000000" w:csb0="2000019F" w:csb1="0000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9"/>
    <w:rsid w:val="00325BD9"/>
    <w:rsid w:val="00485A5F"/>
    <w:rsid w:val="09B93719"/>
    <w:rsid w:val="21251A4A"/>
    <w:rsid w:val="2E167EC8"/>
    <w:rsid w:val="31B91141"/>
    <w:rsid w:val="33165D7C"/>
    <w:rsid w:val="33AE013E"/>
    <w:rsid w:val="3F4140D8"/>
    <w:rsid w:val="42564735"/>
    <w:rsid w:val="428622F8"/>
    <w:rsid w:val="46917473"/>
    <w:rsid w:val="4C4E0DD1"/>
    <w:rsid w:val="5286669C"/>
    <w:rsid w:val="68FB5DCB"/>
    <w:rsid w:val="69817043"/>
    <w:rsid w:val="71BE3408"/>
    <w:rsid w:val="73E24792"/>
    <w:rsid w:val="755C1FA7"/>
    <w:rsid w:val="7CF837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216</Words>
  <Characters>1233</Characters>
  <Lines>10</Lines>
  <Paragraphs>2</Paragraphs>
  <ScaleCrop>false</ScaleCrop>
  <LinksUpToDate>false</LinksUpToDate>
  <CharactersWithSpaces>1447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goldgrid</cp:lastModifiedBy>
  <dcterms:modified xsi:type="dcterms:W3CDTF">2019-06-28T06:36:46Z</dcterms:modified>
  <dc:title>江苏常熟农村商业银行股份有限公司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