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201</w:t>
      </w:r>
      <w:r>
        <w:rPr>
          <w:rFonts w:hint="eastAsia" w:ascii="黑体" w:eastAsia="黑体"/>
          <w:sz w:val="32"/>
          <w:szCs w:val="21"/>
          <w:lang w:val="en-US" w:eastAsia="zh-CN"/>
        </w:rPr>
        <w:t>8</w:t>
      </w:r>
      <w:r>
        <w:rPr>
          <w:rFonts w:hint="eastAsia" w:ascii="黑体" w:eastAsia="黑体"/>
          <w:sz w:val="32"/>
          <w:szCs w:val="21"/>
        </w:rPr>
        <w:t>年个人大额存单第</w:t>
      </w:r>
      <w:r>
        <w:rPr>
          <w:rFonts w:hint="eastAsia" w:ascii="黑体" w:eastAsia="黑体"/>
          <w:sz w:val="32"/>
          <w:szCs w:val="21"/>
          <w:lang w:val="en-US" w:eastAsia="zh-CN"/>
        </w:rPr>
        <w:t>62</w:t>
      </w:r>
      <w:r>
        <w:rPr>
          <w:rFonts w:hint="eastAsia" w:ascii="黑体" w:eastAsia="黑体"/>
          <w:sz w:val="32"/>
          <w:szCs w:val="21"/>
        </w:rPr>
        <w:t>期1年产品说明书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hAnsi="宋体" w:eastAsia="仿宋_GB2312" w:cs="宋体"/>
                <w:color w:val="000000"/>
                <w:kern w:val="0"/>
                <w:sz w:val="24"/>
                <w:szCs w:val="24"/>
              </w:rPr>
              <w:t>201</w:t>
            </w:r>
            <w:r>
              <w:rPr>
                <w:rFonts w:hint="eastAsia" w:ascii="仿宋_GB2312" w:hAnsi="宋体" w:eastAsia="仿宋_GB2312" w:cs="宋体"/>
                <w:color w:val="000000"/>
                <w:kern w:val="0"/>
                <w:sz w:val="24"/>
                <w:szCs w:val="24"/>
                <w:lang w:val="en-US" w:eastAsia="zh-CN"/>
              </w:rPr>
              <w:t>8</w:t>
            </w:r>
            <w:r>
              <w:rPr>
                <w:rFonts w:hint="eastAsia" w:ascii="仿宋_GB2312" w:hAnsi="宋体" w:eastAsia="仿宋_GB2312" w:cs="宋体"/>
                <w:color w:val="000000"/>
                <w:kern w:val="0"/>
                <w:sz w:val="24"/>
                <w:szCs w:val="24"/>
              </w:rPr>
              <w:t>年个人大额存单第</w:t>
            </w:r>
            <w:r>
              <w:rPr>
                <w:rFonts w:hint="eastAsia" w:ascii="仿宋_GB2312" w:hAnsi="宋体" w:eastAsia="仿宋_GB2312" w:cs="宋体"/>
                <w:color w:val="000000"/>
                <w:kern w:val="0"/>
                <w:sz w:val="24"/>
                <w:szCs w:val="24"/>
                <w:lang w:val="en-US" w:eastAsia="zh-CN"/>
              </w:rPr>
              <w:t>62</w:t>
            </w:r>
            <w:r>
              <w:rPr>
                <w:rFonts w:hint="eastAsia" w:ascii="仿宋_GB2312" w:hAnsi="宋体" w:eastAsia="仿宋_GB2312" w:cs="宋体"/>
                <w:color w:val="000000"/>
                <w:kern w:val="0"/>
                <w:sz w:val="24"/>
                <w:szCs w:val="24"/>
              </w:rPr>
              <w:t>期1年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w:t>
            </w:r>
            <w:r>
              <w:rPr>
                <w:rFonts w:hint="eastAsia" w:ascii="仿宋_GB2312" w:eastAsia="仿宋_GB2312"/>
                <w:szCs w:val="21"/>
                <w:lang w:val="en-US" w:eastAsia="zh-CN"/>
              </w:rPr>
              <w:t>2018010101100000167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年</w:t>
            </w:r>
            <w:r>
              <w:rPr>
                <w:rFonts w:hint="eastAsia" w:ascii="仿宋_GB2312" w:eastAsia="仿宋_GB2312"/>
                <w:szCs w:val="21"/>
                <w:lang w:val="en-US" w:eastAsia="zh-CN"/>
              </w:rPr>
              <w:t>1</w:t>
            </w:r>
            <w:r>
              <w:rPr>
                <w:rFonts w:hint="eastAsia" w:ascii="仿宋_GB2312" w:eastAsia="仿宋_GB2312"/>
                <w:szCs w:val="21"/>
              </w:rPr>
              <w:t>月1日—201</w:t>
            </w:r>
            <w:r>
              <w:rPr>
                <w:rFonts w:hint="eastAsia" w:ascii="仿宋_GB2312" w:eastAsia="仿宋_GB2312"/>
                <w:szCs w:val="21"/>
                <w:lang w:val="en-US" w:eastAsia="zh-CN"/>
              </w:rPr>
              <w:t>8</w:t>
            </w:r>
            <w:r>
              <w:rPr>
                <w:rFonts w:hint="eastAsia" w:ascii="仿宋_GB2312" w:eastAsia="仿宋_GB2312"/>
                <w:szCs w:val="21"/>
              </w:rPr>
              <w:t>年</w:t>
            </w:r>
            <w:r>
              <w:rPr>
                <w:rFonts w:hint="eastAsia" w:ascii="仿宋_GB2312" w:eastAsia="仿宋_GB2312"/>
                <w:szCs w:val="21"/>
                <w:lang w:val="en-US" w:eastAsia="zh-CN"/>
              </w:rPr>
              <w:t>3</w:t>
            </w:r>
            <w:r>
              <w:rPr>
                <w:rFonts w:hint="eastAsia" w:ascii="仿宋_GB2312" w:eastAsia="仿宋_GB2312"/>
                <w:szCs w:val="21"/>
              </w:rPr>
              <w:t>月</w:t>
            </w:r>
            <w:r>
              <w:rPr>
                <w:rFonts w:hint="eastAsia" w:ascii="仿宋_GB2312" w:eastAsia="仿宋_GB2312"/>
                <w:szCs w:val="21"/>
                <w:lang w:val="en-US" w:eastAsia="zh-CN"/>
              </w:rPr>
              <w:t>31</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ascii="仿宋_GB2312" w:eastAsia="仿宋_GB2312"/>
                <w:szCs w:val="21"/>
              </w:rPr>
            </w:pPr>
            <w:r>
              <w:rPr>
                <w:rFonts w:hint="eastAsia" w:ascii="仿宋_GB2312" w:eastAsia="仿宋_GB2312"/>
                <w:szCs w:val="21"/>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rPr>
              <w:t>10亿元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rPr>
              <w:t>网点柜面、手机银行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ascii="仿宋_GB2312" w:eastAsia="仿宋_GB2312"/>
                <w:szCs w:val="21"/>
              </w:rPr>
            </w:pPr>
            <w:r>
              <w:rPr>
                <w:rFonts w:hint="eastAsia" w:ascii="仿宋_GB2312" w:eastAsia="仿宋_GB2312"/>
                <w:szCs w:val="21"/>
              </w:rPr>
              <w:t>2.145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起息日起满1年，对年对月对日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w:t>
            </w:r>
            <w:r>
              <w:rPr>
                <w:rFonts w:hint="eastAsia" w:ascii="仿宋_GB2312" w:eastAsia="仿宋_GB2312"/>
                <w:szCs w:val="21"/>
                <w:lang w:eastAsia="zh-CN"/>
              </w:rPr>
              <w:t>大额存单持有证明、开立</w:t>
            </w:r>
            <w:r>
              <w:rPr>
                <w:rFonts w:hint="eastAsia" w:ascii="仿宋_GB2312" w:eastAsia="仿宋_GB2312"/>
                <w:szCs w:val="21"/>
              </w:rPr>
              <w:t>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w:t>
      </w:r>
      <w:r>
        <w:rPr>
          <w:rFonts w:hint="eastAsia" w:ascii="仿宋_GB2312" w:eastAsia="仿宋_GB2312"/>
          <w:szCs w:val="21"/>
          <w:lang w:eastAsia="zh-CN"/>
        </w:rPr>
        <w:t>大额存单持有证明、</w:t>
      </w:r>
      <w:bookmarkStart w:id="0" w:name="_GoBack"/>
      <w:bookmarkEnd w:id="0"/>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w:t>
      </w:r>
      <w:r>
        <w:rPr>
          <w:rFonts w:hint="eastAsia" w:ascii="仿宋_GB2312" w:hAnsi="宋体" w:eastAsia="仿宋_GB2312" w:cs="宋体"/>
          <w:color w:val="000000"/>
          <w:kern w:val="0"/>
          <w:szCs w:val="21"/>
          <w:lang w:eastAsia="zh-CN"/>
        </w:rPr>
        <w:t>、手机银行</w:t>
      </w:r>
      <w:r>
        <w:rPr>
          <w:rFonts w:hint="eastAsia" w:ascii="仿宋_GB2312" w:hAnsi="宋体" w:eastAsia="仿宋_GB2312" w:cs="宋体"/>
          <w:color w:val="000000"/>
          <w:kern w:val="0"/>
          <w:szCs w:val="21"/>
        </w:rPr>
        <w:t>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53CC"/>
    <w:rsid w:val="001C3D88"/>
    <w:rsid w:val="001F78E5"/>
    <w:rsid w:val="002673B1"/>
    <w:rsid w:val="003A3B92"/>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86AB4"/>
    <w:rsid w:val="00F344B5"/>
    <w:rsid w:val="00FB143D"/>
    <w:rsid w:val="02954871"/>
    <w:rsid w:val="03D9531D"/>
    <w:rsid w:val="264C4F95"/>
    <w:rsid w:val="4A5D47B4"/>
    <w:rsid w:val="50897DDA"/>
    <w:rsid w:val="5BB11026"/>
    <w:rsid w:val="6E9E5366"/>
    <w:rsid w:val="6FB91786"/>
    <w:rsid w:val="7E957E8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0"/>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Words>
  <Characters>952</Characters>
  <Lines>7</Lines>
  <Paragraphs>2</Paragraphs>
  <ScaleCrop>false</ScaleCrop>
  <LinksUpToDate>false</LinksUpToDate>
  <CharactersWithSpaces>1116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2016-05-16T00:46:00Z</dcterms:created>
  <dc:creator>王瑜</dc:creator>
  <cp:lastModifiedBy>crcb</cp:lastModifiedBy>
  <cp:lastPrinted>2016-12-31T02:55:00Z</cp:lastPrinted>
  <dcterms:modified xsi:type="dcterms:W3CDTF">2017-12-29T00:32:43Z</dcterms:modified>
  <dc:title>常熟农商银行**年第*期个人大额存单说明书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